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9F066" w14:textId="77777777" w:rsidR="0054611E" w:rsidRPr="00A8576D" w:rsidRDefault="00AD74DC" w:rsidP="00AB6C2A">
      <w:pPr>
        <w:spacing w:line="360" w:lineRule="auto"/>
        <w:jc w:val="center"/>
        <w:rPr>
          <w:rFonts w:ascii="华文中宋" w:eastAsia="华文中宋" w:hAnsi="华文中宋" w:cs="Times New Roman"/>
          <w:b/>
          <w:sz w:val="32"/>
          <w:szCs w:val="28"/>
        </w:rPr>
      </w:pPr>
      <w:r w:rsidRPr="00A8576D">
        <w:rPr>
          <w:rFonts w:ascii="华文中宋" w:eastAsia="华文中宋" w:hAnsi="华文中宋" w:hint="eastAsia"/>
          <w:b/>
          <w:sz w:val="32"/>
          <w:szCs w:val="32"/>
        </w:rPr>
        <w:t>稳中有变与</w:t>
      </w:r>
      <w:r w:rsidRPr="00A8576D">
        <w:rPr>
          <w:rFonts w:ascii="华文中宋" w:eastAsia="华文中宋" w:hAnsi="华文中宋"/>
          <w:b/>
          <w:sz w:val="32"/>
          <w:szCs w:val="32"/>
        </w:rPr>
        <w:t>下滑加</w:t>
      </w:r>
      <w:r w:rsidR="008D0EE2" w:rsidRPr="00A8576D">
        <w:rPr>
          <w:rFonts w:ascii="华文中宋" w:eastAsia="华文中宋" w:hAnsi="华文中宋" w:hint="eastAsia"/>
          <w:b/>
          <w:sz w:val="32"/>
          <w:szCs w:val="32"/>
        </w:rPr>
        <w:t>速</w:t>
      </w:r>
      <w:r w:rsidRPr="00A8576D">
        <w:rPr>
          <w:rFonts w:ascii="华文中宋" w:eastAsia="华文中宋" w:hAnsi="华文中宋"/>
          <w:b/>
          <w:sz w:val="32"/>
          <w:szCs w:val="32"/>
        </w:rPr>
        <w:t>的</w:t>
      </w:r>
      <w:r w:rsidRPr="00A8576D">
        <w:rPr>
          <w:rFonts w:ascii="华文中宋" w:eastAsia="华文中宋" w:hAnsi="华文中宋" w:hint="eastAsia"/>
          <w:b/>
          <w:sz w:val="32"/>
          <w:szCs w:val="32"/>
        </w:rPr>
        <w:t>宏观</w:t>
      </w:r>
      <w:r w:rsidRPr="00A8576D">
        <w:rPr>
          <w:rFonts w:ascii="华文中宋" w:eastAsia="华文中宋" w:hAnsi="华文中宋"/>
          <w:b/>
          <w:sz w:val="32"/>
          <w:szCs w:val="32"/>
        </w:rPr>
        <w:t>经济</w:t>
      </w:r>
      <w:r w:rsidR="0054611E" w:rsidRPr="00A8576D">
        <w:rPr>
          <w:rStyle w:val="af3"/>
          <w:rFonts w:ascii="华文中宋" w:eastAsia="华文中宋" w:hAnsi="华文中宋" w:cs="Times New Roman"/>
          <w:b/>
          <w:sz w:val="32"/>
          <w:szCs w:val="28"/>
        </w:rPr>
        <w:footnoteReference w:customMarkFollows="1" w:id="1"/>
        <w:t>*</w:t>
      </w:r>
    </w:p>
    <w:p w14:paraId="6B03A071" w14:textId="77777777" w:rsidR="00122FA1" w:rsidRDefault="00122FA1" w:rsidP="00AB6C2A">
      <w:pPr>
        <w:spacing w:line="360" w:lineRule="auto"/>
        <w:ind w:firstLineChars="200" w:firstLine="422"/>
        <w:rPr>
          <w:b/>
        </w:rPr>
      </w:pPr>
    </w:p>
    <w:p w14:paraId="71B02190" w14:textId="470E58F5" w:rsidR="00C802FA" w:rsidRDefault="001025A9" w:rsidP="00AB6C2A">
      <w:pPr>
        <w:spacing w:line="360" w:lineRule="auto"/>
        <w:ind w:firstLineChars="200" w:firstLine="422"/>
      </w:pPr>
      <w:r w:rsidRPr="000B0024">
        <w:rPr>
          <w:rFonts w:hint="eastAsia"/>
          <w:b/>
        </w:rPr>
        <w:t>摘要：</w:t>
      </w:r>
      <w:r w:rsidR="00000F96">
        <w:rPr>
          <w:rFonts w:hint="eastAsia"/>
        </w:rPr>
        <w:t>进入</w:t>
      </w:r>
      <w:r w:rsidR="00000F96">
        <w:rPr>
          <w:rFonts w:hint="eastAsia"/>
        </w:rPr>
        <w:t>11</w:t>
      </w:r>
      <w:r w:rsidR="00F31541">
        <w:rPr>
          <w:rFonts w:hint="eastAsia"/>
        </w:rPr>
        <w:t>月</w:t>
      </w:r>
      <w:r w:rsidR="00000F96">
        <w:rPr>
          <w:rFonts w:hint="eastAsia"/>
        </w:rPr>
        <w:t>份</w:t>
      </w:r>
      <w:r w:rsidR="00F31541">
        <w:t>以来</w:t>
      </w:r>
      <w:r w:rsidR="007177C5">
        <w:rPr>
          <w:rFonts w:hint="eastAsia"/>
        </w:rPr>
        <w:t>，</w:t>
      </w:r>
      <w:r w:rsidR="00F31541">
        <w:t>我国宏观经济</w:t>
      </w:r>
      <w:r w:rsidR="000D2B01">
        <w:rPr>
          <w:rFonts w:hint="eastAsia"/>
        </w:rPr>
        <w:t>延续</w:t>
      </w:r>
      <w:r w:rsidR="000D2B01">
        <w:t>了</w:t>
      </w:r>
      <w:r w:rsidR="00F31541">
        <w:rPr>
          <w:rFonts w:hint="eastAsia"/>
        </w:rPr>
        <w:t>整体</w:t>
      </w:r>
      <w:r w:rsidR="0018223F">
        <w:rPr>
          <w:rFonts w:hint="eastAsia"/>
        </w:rPr>
        <w:t>平稳</w:t>
      </w:r>
      <w:r w:rsidR="000D2B01">
        <w:rPr>
          <w:rFonts w:hint="eastAsia"/>
        </w:rPr>
        <w:t>的</w:t>
      </w:r>
      <w:r w:rsidR="000D2B01">
        <w:t>基本格局</w:t>
      </w:r>
      <w:r w:rsidR="000D2B01">
        <w:rPr>
          <w:rFonts w:hint="eastAsia"/>
        </w:rPr>
        <w:t>。</w:t>
      </w:r>
      <w:r w:rsidR="006D2DF8">
        <w:rPr>
          <w:rFonts w:hint="eastAsia"/>
        </w:rPr>
        <w:t>宏观经济</w:t>
      </w:r>
      <w:r w:rsidR="006D2DF8">
        <w:t>整体稳定主要体现在</w:t>
      </w:r>
      <w:r w:rsidR="000D2B01">
        <w:rPr>
          <w:rFonts w:hint="eastAsia"/>
        </w:rPr>
        <w:t>就业</w:t>
      </w:r>
      <w:r w:rsidR="006D2DF8">
        <w:rPr>
          <w:rFonts w:hint="eastAsia"/>
        </w:rPr>
        <w:t>市场稳定</w:t>
      </w:r>
      <w:r w:rsidR="006D2DF8">
        <w:t>，城镇调查失业率和累积新增就业人数较前期指标有所改善；</w:t>
      </w:r>
      <w:r w:rsidR="000D2B01">
        <w:rPr>
          <w:rFonts w:hint="eastAsia"/>
        </w:rPr>
        <w:t>人民币</w:t>
      </w:r>
      <w:r w:rsidR="006D2DF8">
        <w:rPr>
          <w:rFonts w:hint="eastAsia"/>
        </w:rPr>
        <w:t>兑</w:t>
      </w:r>
      <w:r w:rsidR="006D2DF8">
        <w:t>美元</w:t>
      </w:r>
      <w:r w:rsidR="000D2B01">
        <w:t>汇率</w:t>
      </w:r>
      <w:r w:rsidR="006D2DF8">
        <w:t>基本保持稳定，</w:t>
      </w:r>
      <w:r w:rsidR="000D2B01">
        <w:t>外汇储备</w:t>
      </w:r>
      <w:r w:rsidR="006D2DF8">
        <w:rPr>
          <w:rFonts w:hint="eastAsia"/>
        </w:rPr>
        <w:t>小幅</w:t>
      </w:r>
      <w:r w:rsidR="006D2DF8">
        <w:t>回升；</w:t>
      </w:r>
      <w:r w:rsidR="006D2DF8">
        <w:rPr>
          <w:rFonts w:hint="eastAsia"/>
        </w:rPr>
        <w:t>在外部环境</w:t>
      </w:r>
      <w:r w:rsidR="006D2DF8">
        <w:t>不确定性增强的背景下实现了</w:t>
      </w:r>
      <w:r w:rsidR="000D2B01">
        <w:t>国际贸易</w:t>
      </w:r>
      <w:r w:rsidR="000D2B01">
        <w:rPr>
          <w:rFonts w:hint="eastAsia"/>
        </w:rPr>
        <w:t>和</w:t>
      </w:r>
      <w:r w:rsidR="000D2B01">
        <w:t>利用外资</w:t>
      </w:r>
      <w:r w:rsidR="006D2DF8">
        <w:rPr>
          <w:rFonts w:hint="eastAsia"/>
        </w:rPr>
        <w:t>的</w:t>
      </w:r>
      <w:r w:rsidR="000D2B01">
        <w:t>基本稳定和改善。</w:t>
      </w:r>
    </w:p>
    <w:p w14:paraId="325E5710" w14:textId="72301E6E" w:rsidR="00907463" w:rsidRDefault="000D2B01" w:rsidP="00AB6C2A">
      <w:pPr>
        <w:spacing w:line="360" w:lineRule="auto"/>
        <w:ind w:firstLine="420"/>
        <w:rPr>
          <w:rFonts w:ascii="宋体" w:eastAsia="宋体" w:hAnsi="宋体"/>
        </w:rPr>
      </w:pPr>
      <w:r>
        <w:t>在</w:t>
      </w:r>
      <w:r>
        <w:rPr>
          <w:rFonts w:hint="eastAsia"/>
        </w:rPr>
        <w:t>整体</w:t>
      </w:r>
      <w:r>
        <w:t>稳定的大格局下，</w:t>
      </w:r>
      <w:r w:rsidR="00000F96">
        <w:t>总需求</w:t>
      </w:r>
      <w:r>
        <w:rPr>
          <w:rFonts w:hint="eastAsia"/>
        </w:rPr>
        <w:t>增速</w:t>
      </w:r>
      <w:r>
        <w:t>出现</w:t>
      </w:r>
      <w:r w:rsidR="00571827">
        <w:t>下滑</w:t>
      </w:r>
      <w:r w:rsidR="00000F96">
        <w:t>加速的迹象</w:t>
      </w:r>
      <w:r w:rsidR="00000F96">
        <w:rPr>
          <w:rFonts w:hint="eastAsia"/>
        </w:rPr>
        <w:t>，</w:t>
      </w:r>
      <w:r w:rsidR="00000F96">
        <w:t>值得</w:t>
      </w:r>
      <w:r w:rsidR="00693A5D">
        <w:rPr>
          <w:rFonts w:hint="eastAsia"/>
        </w:rPr>
        <w:t>特别</w:t>
      </w:r>
      <w:r w:rsidR="00000F96">
        <w:t>关注。</w:t>
      </w:r>
      <w:r w:rsidR="006D2DF8">
        <w:rPr>
          <w:rFonts w:hint="eastAsia"/>
        </w:rPr>
        <w:t>总需求</w:t>
      </w:r>
      <w:r w:rsidR="006D2DF8">
        <w:t>下滑加速</w:t>
      </w:r>
      <w:r w:rsidR="00C802FA">
        <w:rPr>
          <w:rFonts w:hint="eastAsia"/>
        </w:rPr>
        <w:t>主要体现在</w:t>
      </w:r>
      <w:r w:rsidR="00FF7B45">
        <w:rPr>
          <w:rFonts w:hint="eastAsia"/>
        </w:rPr>
        <w:t>以下</w:t>
      </w:r>
      <w:r w:rsidR="00FF7B45">
        <w:t>几个方面。</w:t>
      </w:r>
      <w:r w:rsidR="00FF7B45">
        <w:rPr>
          <w:rFonts w:hint="eastAsia"/>
        </w:rPr>
        <w:t>第一，国民经济</w:t>
      </w:r>
      <w:r w:rsidR="00FF7B45">
        <w:t>各部门中除</w:t>
      </w:r>
      <w:r w:rsidR="00FF7B45" w:rsidRPr="00FF7B45">
        <w:rPr>
          <w:rFonts w:asciiTheme="minorEastAsia" w:hAnsiTheme="minorEastAsia"/>
        </w:rPr>
        <w:t>“</w:t>
      </w:r>
      <w:r w:rsidR="00FF7B45" w:rsidRPr="00FF7B45">
        <w:rPr>
          <w:rFonts w:asciiTheme="minorEastAsia" w:hAnsiTheme="minorEastAsia" w:hint="eastAsia"/>
        </w:rPr>
        <w:t>信息传输</w:t>
      </w:r>
      <w:r w:rsidR="00FF7B45" w:rsidRPr="00FF7B45">
        <w:rPr>
          <w:rFonts w:asciiTheme="minorEastAsia" w:hAnsiTheme="minorEastAsia"/>
        </w:rPr>
        <w:t>、软件和信息技术服务业”</w:t>
      </w:r>
      <w:r w:rsidR="00FF7B45">
        <w:rPr>
          <w:rFonts w:hint="eastAsia"/>
        </w:rPr>
        <w:t>之外</w:t>
      </w:r>
      <w:r w:rsidR="00FF7B45">
        <w:t>，其他部门需求呈现下滑</w:t>
      </w:r>
      <w:r w:rsidR="00FF7B45">
        <w:rPr>
          <w:rFonts w:hint="eastAsia"/>
        </w:rPr>
        <w:t>趋势</w:t>
      </w:r>
      <w:r w:rsidR="00FF7B45">
        <w:t>，</w:t>
      </w:r>
      <w:r w:rsidR="00FF7B45">
        <w:rPr>
          <w:rFonts w:hint="eastAsia"/>
        </w:rPr>
        <w:t>经济增长</w:t>
      </w:r>
      <w:r w:rsidR="00FF7B45">
        <w:t>新动能尚不能</w:t>
      </w:r>
      <w:r w:rsidR="00FF7B45">
        <w:rPr>
          <w:rFonts w:hint="eastAsia"/>
        </w:rPr>
        <w:t>独立担当</w:t>
      </w:r>
      <w:r w:rsidR="00FF7B45">
        <w:t>稳定经济的重担。</w:t>
      </w:r>
      <w:r w:rsidR="00FF7B45">
        <w:rPr>
          <w:rFonts w:hint="eastAsia"/>
        </w:rPr>
        <w:t>第二</w:t>
      </w:r>
      <w:r w:rsidR="00FF7B45">
        <w:t>，包括消费者价格指数和生产者价格指数在内的</w:t>
      </w:r>
      <w:r w:rsidR="00FF7B45">
        <w:rPr>
          <w:rFonts w:hint="eastAsia"/>
        </w:rPr>
        <w:t>多项</w:t>
      </w:r>
      <w:r w:rsidR="00FF7B45">
        <w:t>细分价格指数环比出现下降。</w:t>
      </w:r>
      <w:r w:rsidR="00FF7B45">
        <w:rPr>
          <w:rFonts w:hint="eastAsia"/>
        </w:rPr>
        <w:t>尽管</w:t>
      </w:r>
      <w:r w:rsidR="00FF7B45">
        <w:t>同比数据显示</w:t>
      </w:r>
      <w:r w:rsidR="00FF7B45">
        <w:rPr>
          <w:rFonts w:hint="eastAsia"/>
        </w:rPr>
        <w:t>全年控通胀目标</w:t>
      </w:r>
      <w:r w:rsidR="00FF7B45">
        <w:t>实现无虞</w:t>
      </w:r>
      <w:r w:rsidR="00FF7B45">
        <w:rPr>
          <w:rFonts w:hint="eastAsia"/>
        </w:rPr>
        <w:t>，</w:t>
      </w:r>
      <w:r w:rsidR="00FF7B45">
        <w:t>但环比指数下降显示</w:t>
      </w:r>
      <w:r w:rsidR="00FF7B45">
        <w:rPr>
          <w:rFonts w:hint="eastAsia"/>
        </w:rPr>
        <w:t>我国</w:t>
      </w:r>
      <w:r w:rsidR="00FF7B45">
        <w:t>经济正面临通货紧缩的压力。</w:t>
      </w:r>
      <w:r w:rsidR="00FF7B45">
        <w:rPr>
          <w:rFonts w:hint="eastAsia"/>
        </w:rPr>
        <w:t>第三</w:t>
      </w:r>
      <w:r w:rsidR="00FF7B45">
        <w:t>，</w:t>
      </w:r>
      <w:r w:rsidR="000761B3">
        <w:rPr>
          <w:rFonts w:ascii="宋体" w:eastAsia="宋体" w:hAnsi="宋体" w:hint="eastAsia"/>
        </w:rPr>
        <w:t>消费品零售总额</w:t>
      </w:r>
      <w:r w:rsidR="000761B3">
        <w:rPr>
          <w:rFonts w:ascii="宋体" w:eastAsia="宋体" w:hAnsi="宋体"/>
        </w:rPr>
        <w:t>增速下滑趋势延续。居民部门</w:t>
      </w:r>
      <w:r w:rsidR="000761B3">
        <w:rPr>
          <w:rFonts w:ascii="宋体" w:eastAsia="宋体" w:hAnsi="宋体" w:hint="eastAsia"/>
        </w:rPr>
        <w:t>高杠杆率</w:t>
      </w:r>
      <w:r w:rsidR="000761B3">
        <w:rPr>
          <w:rFonts w:ascii="宋体" w:eastAsia="宋体" w:hAnsi="宋体"/>
        </w:rPr>
        <w:t>对</w:t>
      </w:r>
      <w:r w:rsidR="000761B3">
        <w:rPr>
          <w:rFonts w:ascii="宋体" w:eastAsia="宋体" w:hAnsi="宋体" w:hint="eastAsia"/>
        </w:rPr>
        <w:t>财富</w:t>
      </w:r>
      <w:r w:rsidR="000761B3">
        <w:rPr>
          <w:rFonts w:ascii="宋体" w:eastAsia="宋体" w:hAnsi="宋体"/>
        </w:rPr>
        <w:t>结构和消费的影响是长期的，只有通过稳定经济增长和收入才能够实现消费的稳定。第四</w:t>
      </w:r>
      <w:r w:rsidR="000761B3">
        <w:rPr>
          <w:rFonts w:ascii="宋体" w:eastAsia="宋体" w:hAnsi="宋体" w:hint="eastAsia"/>
        </w:rPr>
        <w:t>，广义</w:t>
      </w:r>
      <w:r w:rsidR="000761B3">
        <w:rPr>
          <w:rFonts w:ascii="宋体" w:eastAsia="宋体" w:hAnsi="宋体"/>
        </w:rPr>
        <w:t>货币</w:t>
      </w:r>
      <w:r w:rsidR="000761B3">
        <w:rPr>
          <w:rFonts w:ascii="宋体" w:eastAsia="宋体" w:hAnsi="宋体" w:hint="eastAsia"/>
        </w:rPr>
        <w:t>增速</w:t>
      </w:r>
      <w:r w:rsidR="000761B3">
        <w:rPr>
          <w:rFonts w:ascii="宋体" w:eastAsia="宋体" w:hAnsi="宋体"/>
        </w:rPr>
        <w:t>已经</w:t>
      </w:r>
      <w:r w:rsidR="000761B3">
        <w:rPr>
          <w:rFonts w:ascii="宋体" w:eastAsia="宋体" w:hAnsi="宋体" w:hint="eastAsia"/>
        </w:rPr>
        <w:t>连续7个季度低于</w:t>
      </w:r>
      <w:r w:rsidR="000761B3">
        <w:rPr>
          <w:rFonts w:ascii="宋体" w:eastAsia="宋体" w:hAnsi="宋体"/>
        </w:rPr>
        <w:t>名义GDP的增长。历史经验</w:t>
      </w:r>
      <w:r w:rsidR="000761B3">
        <w:rPr>
          <w:rFonts w:ascii="宋体" w:eastAsia="宋体" w:hAnsi="宋体" w:hint="eastAsia"/>
        </w:rPr>
        <w:t>和</w:t>
      </w:r>
      <w:r w:rsidR="000761B3">
        <w:rPr>
          <w:rFonts w:ascii="宋体" w:eastAsia="宋体" w:hAnsi="宋体"/>
        </w:rPr>
        <w:t>国际经验都表明，短期内货币增速过低不利于</w:t>
      </w:r>
      <w:r w:rsidR="000761B3">
        <w:rPr>
          <w:rFonts w:ascii="宋体" w:eastAsia="宋体" w:hAnsi="宋体" w:hint="eastAsia"/>
        </w:rPr>
        <w:t>总</w:t>
      </w:r>
      <w:r w:rsidR="000761B3">
        <w:rPr>
          <w:rFonts w:ascii="宋体" w:eastAsia="宋体" w:hAnsi="宋体"/>
        </w:rPr>
        <w:t>需求的</w:t>
      </w:r>
      <w:r w:rsidR="000761B3">
        <w:rPr>
          <w:rFonts w:ascii="宋体" w:eastAsia="宋体" w:hAnsi="宋体" w:hint="eastAsia"/>
        </w:rPr>
        <w:t>复苏</w:t>
      </w:r>
      <w:r w:rsidR="000761B3">
        <w:rPr>
          <w:rFonts w:ascii="宋体" w:eastAsia="宋体" w:hAnsi="宋体"/>
        </w:rPr>
        <w:t>。</w:t>
      </w:r>
    </w:p>
    <w:p w14:paraId="53A32AB7" w14:textId="600E6B9D" w:rsidR="007177C5" w:rsidRPr="00FF7B45" w:rsidRDefault="00693A5D" w:rsidP="00AB6C2A">
      <w:pPr>
        <w:spacing w:line="360" w:lineRule="auto"/>
        <w:ind w:firstLine="420"/>
        <w:rPr>
          <w:rFonts w:ascii="宋体" w:eastAsia="宋体" w:hAnsi="宋体"/>
        </w:rPr>
      </w:pPr>
      <w:r>
        <w:rPr>
          <w:rFonts w:asciiTheme="minorEastAsia" w:hAnsiTheme="minorEastAsia" w:hint="eastAsia"/>
        </w:rPr>
        <w:t>政策</w:t>
      </w:r>
      <w:r>
        <w:rPr>
          <w:rFonts w:asciiTheme="minorEastAsia" w:hAnsiTheme="minorEastAsia"/>
        </w:rPr>
        <w:t>方面，</w:t>
      </w:r>
      <w:r w:rsidR="007177C5">
        <w:rPr>
          <w:rFonts w:asciiTheme="minorEastAsia" w:hAnsiTheme="minorEastAsia" w:hint="eastAsia"/>
        </w:rPr>
        <w:t>我国</w:t>
      </w:r>
      <w:r w:rsidR="007177C5">
        <w:rPr>
          <w:rFonts w:asciiTheme="minorEastAsia" w:hAnsiTheme="minorEastAsia"/>
        </w:rPr>
        <w:t>目前经济下滑不仅</w:t>
      </w:r>
      <w:r w:rsidR="007177C5">
        <w:rPr>
          <w:rFonts w:asciiTheme="minorEastAsia" w:hAnsiTheme="minorEastAsia" w:hint="eastAsia"/>
        </w:rPr>
        <w:t>具有</w:t>
      </w:r>
      <w:r w:rsidR="007177C5">
        <w:rPr>
          <w:rFonts w:asciiTheme="minorEastAsia" w:hAnsiTheme="minorEastAsia"/>
        </w:rPr>
        <w:t>新常态</w:t>
      </w:r>
      <w:r w:rsidR="007177C5">
        <w:rPr>
          <w:rFonts w:asciiTheme="minorEastAsia" w:hAnsiTheme="minorEastAsia" w:hint="eastAsia"/>
        </w:rPr>
        <w:t>转型</w:t>
      </w:r>
      <w:r w:rsidR="007177C5">
        <w:rPr>
          <w:rFonts w:asciiTheme="minorEastAsia" w:hAnsiTheme="minorEastAsia"/>
        </w:rPr>
        <w:t>时期的</w:t>
      </w:r>
      <w:r w:rsidR="007177C5">
        <w:rPr>
          <w:rFonts w:asciiTheme="minorEastAsia" w:hAnsiTheme="minorEastAsia" w:hint="eastAsia"/>
        </w:rPr>
        <w:t>阶段性</w:t>
      </w:r>
      <w:r w:rsidR="007177C5">
        <w:rPr>
          <w:rFonts w:asciiTheme="minorEastAsia" w:hAnsiTheme="minorEastAsia"/>
        </w:rPr>
        <w:t>特征，同时也</w:t>
      </w:r>
      <w:r w:rsidR="007177C5">
        <w:rPr>
          <w:rFonts w:asciiTheme="minorEastAsia" w:hAnsiTheme="minorEastAsia" w:hint="eastAsia"/>
        </w:rPr>
        <w:t>是国际</w:t>
      </w:r>
      <w:r w:rsidR="007177C5">
        <w:rPr>
          <w:rFonts w:asciiTheme="minorEastAsia" w:hAnsiTheme="minorEastAsia"/>
        </w:rPr>
        <w:t>经济形势变化对消费者和投资者信心造成的</w:t>
      </w:r>
      <w:r w:rsidR="007177C5">
        <w:rPr>
          <w:rFonts w:asciiTheme="minorEastAsia" w:hAnsiTheme="minorEastAsia" w:hint="eastAsia"/>
        </w:rPr>
        <w:t>冲击</w:t>
      </w:r>
      <w:r w:rsidR="007177C5">
        <w:rPr>
          <w:rFonts w:asciiTheme="minorEastAsia" w:hAnsiTheme="minorEastAsia"/>
        </w:rPr>
        <w:t>的结果。应对</w:t>
      </w:r>
      <w:r w:rsidR="007177C5">
        <w:rPr>
          <w:rFonts w:asciiTheme="minorEastAsia" w:hAnsiTheme="minorEastAsia" w:hint="eastAsia"/>
        </w:rPr>
        <w:t>目前</w:t>
      </w:r>
      <w:r w:rsidR="007177C5">
        <w:rPr>
          <w:rFonts w:asciiTheme="minorEastAsia" w:hAnsiTheme="minorEastAsia"/>
        </w:rPr>
        <w:t>的经济形势不仅要有常规的</w:t>
      </w:r>
      <w:r w:rsidR="007177C5">
        <w:rPr>
          <w:rFonts w:asciiTheme="minorEastAsia" w:hAnsiTheme="minorEastAsia" w:hint="eastAsia"/>
        </w:rPr>
        <w:t>全方位</w:t>
      </w:r>
      <w:r w:rsidR="007177C5">
        <w:rPr>
          <w:rFonts w:asciiTheme="minorEastAsia" w:hAnsiTheme="minorEastAsia"/>
        </w:rPr>
        <w:t>的经济政策</w:t>
      </w:r>
      <w:r w:rsidR="007177C5">
        <w:rPr>
          <w:rFonts w:asciiTheme="minorEastAsia" w:hAnsiTheme="minorEastAsia" w:hint="eastAsia"/>
        </w:rPr>
        <w:t>，</w:t>
      </w:r>
      <w:r w:rsidR="007177C5">
        <w:rPr>
          <w:rFonts w:asciiTheme="minorEastAsia" w:hAnsiTheme="minorEastAsia"/>
        </w:rPr>
        <w:t>更需要从稳定居民和投资者信心着手，稳定</w:t>
      </w:r>
      <w:r w:rsidR="007177C5">
        <w:rPr>
          <w:rFonts w:asciiTheme="minorEastAsia" w:hAnsiTheme="minorEastAsia" w:hint="eastAsia"/>
        </w:rPr>
        <w:t>国内外</w:t>
      </w:r>
      <w:r w:rsidR="007177C5">
        <w:rPr>
          <w:rFonts w:asciiTheme="minorEastAsia" w:hAnsiTheme="minorEastAsia"/>
        </w:rPr>
        <w:t>经济主体对未来中国经济的预期。</w:t>
      </w:r>
    </w:p>
    <w:p w14:paraId="67E3C8FC" w14:textId="444976C9" w:rsidR="0018223F" w:rsidRDefault="0018223F" w:rsidP="00AB6C2A">
      <w:pPr>
        <w:pStyle w:val="af"/>
        <w:numPr>
          <w:ilvl w:val="0"/>
          <w:numId w:val="1"/>
        </w:numPr>
        <w:spacing w:line="360" w:lineRule="auto"/>
        <w:rPr>
          <w:sz w:val="28"/>
          <w:szCs w:val="28"/>
        </w:rPr>
      </w:pPr>
      <w:r w:rsidRPr="00704FAF">
        <w:rPr>
          <w:rFonts w:hint="eastAsia"/>
          <w:sz w:val="28"/>
          <w:szCs w:val="28"/>
        </w:rPr>
        <w:t>宏观</w:t>
      </w:r>
      <w:r w:rsidRPr="00704FAF">
        <w:rPr>
          <w:sz w:val="28"/>
          <w:szCs w:val="28"/>
        </w:rPr>
        <w:t>经济整体</w:t>
      </w:r>
      <w:r w:rsidR="003F476B" w:rsidRPr="00704FAF">
        <w:rPr>
          <w:rFonts w:hint="eastAsia"/>
          <w:sz w:val="28"/>
          <w:szCs w:val="28"/>
        </w:rPr>
        <w:t>保持</w:t>
      </w:r>
      <w:r w:rsidRPr="00704FAF">
        <w:rPr>
          <w:sz w:val="28"/>
          <w:szCs w:val="28"/>
        </w:rPr>
        <w:t>稳定</w:t>
      </w:r>
    </w:p>
    <w:p w14:paraId="5E98B175" w14:textId="5B0AAA53" w:rsidR="00000F96" w:rsidRPr="00000F96" w:rsidRDefault="00000F96" w:rsidP="00AB6C2A">
      <w:pPr>
        <w:spacing w:line="360" w:lineRule="auto"/>
        <w:ind w:firstLine="420"/>
      </w:pPr>
      <w:r>
        <w:rPr>
          <w:rFonts w:hint="eastAsia"/>
        </w:rPr>
        <w:t>2018</w:t>
      </w:r>
      <w:r>
        <w:rPr>
          <w:rFonts w:hint="eastAsia"/>
        </w:rPr>
        <w:t>年在外部</w:t>
      </w:r>
      <w:r>
        <w:t>环境不确定性增强的</w:t>
      </w:r>
      <w:r>
        <w:rPr>
          <w:rFonts w:hint="eastAsia"/>
        </w:rPr>
        <w:t>背景下，</w:t>
      </w:r>
      <w:r>
        <w:t>我国政府积极进行政策调整，</w:t>
      </w:r>
      <w:r w:rsidRPr="0018223F">
        <w:t>稳就业、稳金融、稳外贸、稳外资、稳投资、稳预期工作</w:t>
      </w:r>
      <w:r>
        <w:rPr>
          <w:rFonts w:hint="eastAsia"/>
        </w:rPr>
        <w:t>取得</w:t>
      </w:r>
      <w:r>
        <w:t>初步成果</w:t>
      </w:r>
      <w:r w:rsidR="00693A5D">
        <w:rPr>
          <w:rFonts w:hint="eastAsia"/>
        </w:rPr>
        <w:t>。进入</w:t>
      </w:r>
      <w:r w:rsidR="00693A5D">
        <w:rPr>
          <w:rFonts w:hint="eastAsia"/>
        </w:rPr>
        <w:t>11</w:t>
      </w:r>
      <w:r w:rsidR="00693A5D">
        <w:rPr>
          <w:rFonts w:hint="eastAsia"/>
        </w:rPr>
        <w:t>月份</w:t>
      </w:r>
      <w:r w:rsidR="00693A5D">
        <w:t>以来</w:t>
      </w:r>
      <w:r w:rsidR="00693A5D">
        <w:rPr>
          <w:rFonts w:hint="eastAsia"/>
        </w:rPr>
        <w:t>，</w:t>
      </w:r>
      <w:r w:rsidR="00693A5D">
        <w:t>我国宏观经济</w:t>
      </w:r>
      <w:r w:rsidR="00693A5D">
        <w:rPr>
          <w:rFonts w:hint="eastAsia"/>
        </w:rPr>
        <w:t>延续</w:t>
      </w:r>
      <w:r w:rsidR="00693A5D">
        <w:t>了</w:t>
      </w:r>
      <w:r w:rsidR="00693A5D">
        <w:rPr>
          <w:rFonts w:hint="eastAsia"/>
        </w:rPr>
        <w:t>整体平稳的</w:t>
      </w:r>
      <w:r w:rsidR="00693A5D">
        <w:t>基本格局</w:t>
      </w:r>
      <w:r>
        <w:t>主要体现在以下几个方面：</w:t>
      </w:r>
    </w:p>
    <w:p w14:paraId="28A25220" w14:textId="4ABB7AA9" w:rsidR="0018223F" w:rsidRPr="0018223F" w:rsidRDefault="00000F96" w:rsidP="00AB6C2A">
      <w:pPr>
        <w:spacing w:line="360" w:lineRule="auto"/>
        <w:ind w:firstLine="420"/>
      </w:pPr>
      <w:r>
        <w:rPr>
          <w:rFonts w:hint="eastAsia"/>
        </w:rPr>
        <w:t>第一，</w:t>
      </w:r>
      <w:r w:rsidR="005D53DA">
        <w:rPr>
          <w:rFonts w:hint="eastAsia"/>
        </w:rPr>
        <w:t>城镇</w:t>
      </w:r>
      <w:r w:rsidR="005D53DA">
        <w:t>新增就业人数持续增加，调查失业率保持稳定。</w:t>
      </w:r>
      <w:r w:rsidR="0018223F">
        <w:rPr>
          <w:rFonts w:hint="eastAsia"/>
        </w:rPr>
        <w:t>就业</w:t>
      </w:r>
      <w:r w:rsidR="005D53DA">
        <w:rPr>
          <w:rFonts w:hint="eastAsia"/>
        </w:rPr>
        <w:t>稳定</w:t>
      </w:r>
      <w:r w:rsidR="0018223F">
        <w:t>是宏观经济稳定的基础</w:t>
      </w:r>
      <w:r w:rsidR="005D53DA">
        <w:rPr>
          <w:rFonts w:hint="eastAsia"/>
        </w:rPr>
        <w:t>，</w:t>
      </w:r>
      <w:r w:rsidR="005D53DA">
        <w:t>也为</w:t>
      </w:r>
      <w:r w:rsidR="005D53DA">
        <w:rPr>
          <w:rFonts w:hint="eastAsia"/>
        </w:rPr>
        <w:t>下一步</w:t>
      </w:r>
      <w:r w:rsidR="005D53DA">
        <w:t>扩大改革和开放创造了良好的条件</w:t>
      </w:r>
      <w:r w:rsidR="0018223F">
        <w:t>。</w:t>
      </w:r>
      <w:r w:rsidR="005D53DA">
        <w:rPr>
          <w:rFonts w:hint="eastAsia"/>
        </w:rPr>
        <w:t>2018</w:t>
      </w:r>
      <w:r w:rsidR="005D53DA">
        <w:rPr>
          <w:rFonts w:hint="eastAsia"/>
        </w:rPr>
        <w:t>年</w:t>
      </w:r>
      <w:r w:rsidR="005D53DA">
        <w:t>以来我国城镇就业基本保持稳定</w:t>
      </w:r>
      <w:r w:rsidR="005D53DA">
        <w:rPr>
          <w:rFonts w:hint="eastAsia"/>
        </w:rPr>
        <w:t>。</w:t>
      </w:r>
      <w:r w:rsidR="005D53DA">
        <w:t>全年城镇调查失业率保持在</w:t>
      </w:r>
      <w:r w:rsidR="005D53DA">
        <w:rPr>
          <w:rFonts w:hint="eastAsia"/>
        </w:rPr>
        <w:t>5</w:t>
      </w:r>
      <w:r w:rsidR="005D53DA">
        <w:t>%</w:t>
      </w:r>
      <w:r w:rsidR="005D53DA">
        <w:t>左右</w:t>
      </w:r>
      <w:r w:rsidR="005D53DA">
        <w:rPr>
          <w:rFonts w:hint="eastAsia"/>
        </w:rPr>
        <w:t>，</w:t>
      </w:r>
      <w:r w:rsidR="005D53DA">
        <w:rPr>
          <w:rFonts w:hint="eastAsia"/>
        </w:rPr>
        <w:t>8</w:t>
      </w:r>
      <w:r w:rsidR="005D53DA">
        <w:rPr>
          <w:rFonts w:hint="eastAsia"/>
        </w:rPr>
        <w:t>月份</w:t>
      </w:r>
      <w:r w:rsidR="005D53DA">
        <w:t>之后略有下降。</w:t>
      </w:r>
      <w:r w:rsidR="005D53DA">
        <w:rPr>
          <w:rFonts w:hint="eastAsia"/>
        </w:rPr>
        <w:t>截至</w:t>
      </w:r>
      <w:r w:rsidR="005D53DA">
        <w:rPr>
          <w:rFonts w:hint="eastAsia"/>
        </w:rPr>
        <w:t>1</w:t>
      </w:r>
      <w:r w:rsidR="00693A5D">
        <w:t>1</w:t>
      </w:r>
      <w:r w:rsidR="005D53DA">
        <w:rPr>
          <w:rFonts w:hint="eastAsia"/>
        </w:rPr>
        <w:t>月份城镇</w:t>
      </w:r>
      <w:r w:rsidR="005D53DA">
        <w:t>调查失业率为</w:t>
      </w:r>
      <w:r w:rsidR="005D53DA">
        <w:rPr>
          <w:rFonts w:hint="eastAsia"/>
        </w:rPr>
        <w:t>4.</w:t>
      </w:r>
      <w:r w:rsidR="00693A5D">
        <w:t>8</w:t>
      </w:r>
      <w:r w:rsidR="005D53DA">
        <w:t>%</w:t>
      </w:r>
      <w:r w:rsidR="005D53DA">
        <w:t>，比</w:t>
      </w:r>
      <w:r w:rsidR="005D53DA">
        <w:rPr>
          <w:rFonts w:hint="eastAsia"/>
        </w:rPr>
        <w:t>8</w:t>
      </w:r>
      <w:r w:rsidR="005D53DA">
        <w:rPr>
          <w:rFonts w:hint="eastAsia"/>
        </w:rPr>
        <w:t>月份</w:t>
      </w:r>
      <w:r w:rsidR="005D53DA">
        <w:rPr>
          <w:rFonts w:hint="eastAsia"/>
        </w:rPr>
        <w:t>5.1</w:t>
      </w:r>
      <w:r w:rsidR="005D53DA">
        <w:t>%</w:t>
      </w:r>
      <w:r w:rsidR="005D53DA">
        <w:t>下降了</w:t>
      </w:r>
      <w:r w:rsidR="005D53DA">
        <w:rPr>
          <w:rFonts w:hint="eastAsia"/>
        </w:rPr>
        <w:t>0.</w:t>
      </w:r>
      <w:r w:rsidR="00693A5D">
        <w:t>3</w:t>
      </w:r>
      <w:r w:rsidR="005D53DA">
        <w:rPr>
          <w:rFonts w:hint="eastAsia"/>
        </w:rPr>
        <w:t>个</w:t>
      </w:r>
      <w:r w:rsidR="005D53DA">
        <w:t>百分点。同时</w:t>
      </w:r>
      <w:r w:rsidR="005D53DA">
        <w:rPr>
          <w:rFonts w:hint="eastAsia"/>
        </w:rPr>
        <w:t>，</w:t>
      </w:r>
      <w:r w:rsidR="005D53DA">
        <w:t>城镇新增就业</w:t>
      </w:r>
      <w:r w:rsidR="005D53DA">
        <w:rPr>
          <w:rFonts w:hint="eastAsia"/>
        </w:rPr>
        <w:t>人数</w:t>
      </w:r>
      <w:r w:rsidR="005D53DA">
        <w:t>保持稳定增长，</w:t>
      </w:r>
      <w:r w:rsidR="005D53DA">
        <w:lastRenderedPageBreak/>
        <w:t>截至</w:t>
      </w:r>
      <w:r w:rsidR="005D53DA">
        <w:rPr>
          <w:rFonts w:hint="eastAsia"/>
        </w:rPr>
        <w:t>1</w:t>
      </w:r>
      <w:r w:rsidR="00693A5D">
        <w:t>1</w:t>
      </w:r>
      <w:r w:rsidR="005D53DA">
        <w:rPr>
          <w:rFonts w:hint="eastAsia"/>
        </w:rPr>
        <w:t>月份实现累积</w:t>
      </w:r>
      <w:r w:rsidR="005D53DA">
        <w:t>新增就业人数</w:t>
      </w:r>
      <w:r w:rsidR="005D53DA">
        <w:rPr>
          <w:rFonts w:hint="eastAsia"/>
        </w:rPr>
        <w:t>12</w:t>
      </w:r>
      <w:r w:rsidR="00693A5D">
        <w:t>93</w:t>
      </w:r>
      <w:r w:rsidR="005D53DA">
        <w:rPr>
          <w:rFonts w:hint="eastAsia"/>
        </w:rPr>
        <w:t>万人</w:t>
      </w:r>
      <w:r w:rsidR="005D53DA">
        <w:t>，</w:t>
      </w:r>
      <w:r w:rsidR="005D53DA">
        <w:rPr>
          <w:rFonts w:hint="eastAsia"/>
        </w:rPr>
        <w:t>比上年同期</w:t>
      </w:r>
      <w:r w:rsidR="005D53DA">
        <w:t>增</w:t>
      </w:r>
      <w:r w:rsidR="00693A5D">
        <w:rPr>
          <w:rFonts w:hint="eastAsia"/>
        </w:rPr>
        <w:t>加</w:t>
      </w:r>
      <w:r w:rsidR="00693A5D">
        <w:rPr>
          <w:rFonts w:hint="eastAsia"/>
        </w:rPr>
        <w:t>13</w:t>
      </w:r>
      <w:r w:rsidR="00693A5D">
        <w:rPr>
          <w:rFonts w:hint="eastAsia"/>
        </w:rPr>
        <w:t>万人</w:t>
      </w:r>
      <w:r w:rsidR="005D53DA">
        <w:t>。</w:t>
      </w:r>
    </w:p>
    <w:p w14:paraId="79167004" w14:textId="323A2AC1" w:rsidR="00F31541" w:rsidRDefault="00693A5D" w:rsidP="00AB6C2A">
      <w:pPr>
        <w:spacing w:line="360" w:lineRule="auto"/>
        <w:jc w:val="center"/>
      </w:pPr>
      <w:r>
        <w:rPr>
          <w:noProof/>
        </w:rPr>
        <w:drawing>
          <wp:inline distT="0" distB="0" distL="0" distR="0" wp14:anchorId="2D95C0CD" wp14:editId="7C870C5F">
            <wp:extent cx="4572000" cy="27432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rPr>
        <w:t xml:space="preserve"> </w:t>
      </w:r>
    </w:p>
    <w:p w14:paraId="6CD43114" w14:textId="77777777" w:rsidR="005D53DA" w:rsidRDefault="005D53DA" w:rsidP="00AB6C2A">
      <w:pPr>
        <w:spacing w:line="360" w:lineRule="auto"/>
        <w:jc w:val="center"/>
      </w:pPr>
      <w:r>
        <w:rPr>
          <w:rFonts w:hint="eastAsia"/>
        </w:rPr>
        <w:t>图</w:t>
      </w:r>
      <w:r>
        <w:rPr>
          <w:rFonts w:hint="eastAsia"/>
        </w:rPr>
        <w:t xml:space="preserve">1 </w:t>
      </w:r>
      <w:r>
        <w:rPr>
          <w:rFonts w:hint="eastAsia"/>
        </w:rPr>
        <w:t>城镇</w:t>
      </w:r>
      <w:r>
        <w:t>调查失业率和新增就业人数累计增长率</w:t>
      </w:r>
    </w:p>
    <w:p w14:paraId="236BAE33" w14:textId="77777777" w:rsidR="005D53DA" w:rsidRDefault="005D53DA" w:rsidP="00AB6C2A">
      <w:pPr>
        <w:spacing w:line="360" w:lineRule="auto"/>
        <w:jc w:val="center"/>
      </w:pPr>
    </w:p>
    <w:p w14:paraId="19D87323" w14:textId="4DA662BB" w:rsidR="005D53DA" w:rsidRPr="005D53DA" w:rsidRDefault="00000F96" w:rsidP="00AB6C2A">
      <w:pPr>
        <w:spacing w:line="360" w:lineRule="auto"/>
        <w:ind w:firstLine="420"/>
        <w:jc w:val="left"/>
      </w:pPr>
      <w:r>
        <w:rPr>
          <w:rFonts w:hint="eastAsia"/>
        </w:rPr>
        <w:t>第二，</w:t>
      </w:r>
      <w:r w:rsidR="005D53DA">
        <w:rPr>
          <w:rFonts w:hint="eastAsia"/>
        </w:rPr>
        <w:t>外汇储备</w:t>
      </w:r>
      <w:r w:rsidR="005D53DA">
        <w:t>和人民币汇率实现稳定</w:t>
      </w:r>
      <w:r>
        <w:rPr>
          <w:rFonts w:hint="eastAsia"/>
        </w:rPr>
        <w:t>。</w:t>
      </w:r>
      <w:r w:rsidR="005D53DA">
        <w:rPr>
          <w:rFonts w:hint="eastAsia"/>
        </w:rPr>
        <w:t>在</w:t>
      </w:r>
      <w:r w:rsidR="005D53DA">
        <w:t>美联储加息和</w:t>
      </w:r>
      <w:r w:rsidR="005D53DA">
        <w:rPr>
          <w:rFonts w:hint="eastAsia"/>
        </w:rPr>
        <w:t>全球</w:t>
      </w:r>
      <w:r w:rsidR="005D53DA">
        <w:t>贸易摩擦的大背景下，</w:t>
      </w:r>
      <w:r w:rsidR="005D53DA">
        <w:rPr>
          <w:rFonts w:hint="eastAsia"/>
        </w:rPr>
        <w:t>2018</w:t>
      </w:r>
      <w:r w:rsidR="005D53DA">
        <w:rPr>
          <w:rFonts w:hint="eastAsia"/>
        </w:rPr>
        <w:t>年</w:t>
      </w:r>
      <w:r w:rsidR="005D53DA">
        <w:t>下半年以来新兴市场国家</w:t>
      </w:r>
      <w:r w:rsidR="005D53DA">
        <w:rPr>
          <w:rFonts w:hint="eastAsia"/>
        </w:rPr>
        <w:t>货币</w:t>
      </w:r>
      <w:r w:rsidR="005D53DA">
        <w:t>兑美元汇率出现了一波较大的贬值，直接影响到投资者对新兴市场国家经济的</w:t>
      </w:r>
      <w:r w:rsidR="005D53DA">
        <w:rPr>
          <w:rFonts w:hint="eastAsia"/>
        </w:rPr>
        <w:t>信心</w:t>
      </w:r>
      <w:r w:rsidR="005D53DA">
        <w:t>。</w:t>
      </w:r>
      <w:r w:rsidR="005D53DA">
        <w:rPr>
          <w:rFonts w:hint="eastAsia"/>
        </w:rPr>
        <w:t>人民币</w:t>
      </w:r>
      <w:r w:rsidR="005D53DA">
        <w:t>兑美元汇率也在</w:t>
      </w:r>
      <w:r w:rsidR="005D53DA">
        <w:rPr>
          <w:rFonts w:hint="eastAsia"/>
        </w:rPr>
        <w:t>5</w:t>
      </w:r>
      <w:r w:rsidR="005D53DA">
        <w:rPr>
          <w:rFonts w:hint="eastAsia"/>
        </w:rPr>
        <w:t>月份</w:t>
      </w:r>
      <w:r w:rsidR="005D53DA">
        <w:t>之后</w:t>
      </w:r>
      <w:r>
        <w:rPr>
          <w:rFonts w:hint="eastAsia"/>
        </w:rPr>
        <w:t>也</w:t>
      </w:r>
      <w:r w:rsidR="005D53DA">
        <w:t>出现了一波比较快速的</w:t>
      </w:r>
      <w:r w:rsidR="005D53DA">
        <w:rPr>
          <w:rFonts w:hint="eastAsia"/>
        </w:rPr>
        <w:t>贬值</w:t>
      </w:r>
      <w:r w:rsidR="005D53DA">
        <w:t>，</w:t>
      </w:r>
      <w:r w:rsidR="005D53DA">
        <w:rPr>
          <w:rFonts w:hint="eastAsia"/>
        </w:rPr>
        <w:t>截止到</w:t>
      </w:r>
      <w:r w:rsidR="005D53DA">
        <w:t>9</w:t>
      </w:r>
      <w:r w:rsidR="005D53DA">
        <w:rPr>
          <w:rFonts w:hint="eastAsia"/>
        </w:rPr>
        <w:t>月份</w:t>
      </w:r>
      <w:r w:rsidR="005D53DA">
        <w:t>累积贬值约</w:t>
      </w:r>
      <w:r w:rsidR="005D53DA">
        <w:rPr>
          <w:rFonts w:hint="eastAsia"/>
        </w:rPr>
        <w:t>10</w:t>
      </w:r>
      <w:r w:rsidR="005D53DA">
        <w:t>%</w:t>
      </w:r>
      <w:r w:rsidR="005D53DA">
        <w:t>左右。</w:t>
      </w:r>
      <w:r w:rsidR="005D53DA">
        <w:rPr>
          <w:rFonts w:hint="eastAsia"/>
        </w:rPr>
        <w:t>1</w:t>
      </w:r>
      <w:r w:rsidR="005D53DA">
        <w:t>0</w:t>
      </w:r>
      <w:r w:rsidR="005D53DA">
        <w:rPr>
          <w:rFonts w:hint="eastAsia"/>
        </w:rPr>
        <w:t>月份</w:t>
      </w:r>
      <w:r w:rsidR="005D53DA">
        <w:t>和</w:t>
      </w:r>
      <w:r w:rsidR="005D53DA">
        <w:rPr>
          <w:rFonts w:hint="eastAsia"/>
        </w:rPr>
        <w:t>11</w:t>
      </w:r>
      <w:r w:rsidR="005D53DA">
        <w:rPr>
          <w:rFonts w:hint="eastAsia"/>
        </w:rPr>
        <w:t>月份</w:t>
      </w:r>
      <w:r w:rsidR="005D53DA">
        <w:t>汇率出现企稳迹象，基本维持在</w:t>
      </w:r>
      <w:r w:rsidR="005D53DA">
        <w:rPr>
          <w:rFonts w:hint="eastAsia"/>
        </w:rPr>
        <w:t>6.9</w:t>
      </w:r>
      <w:r w:rsidR="005D53DA">
        <w:rPr>
          <w:rFonts w:hint="eastAsia"/>
        </w:rPr>
        <w:t>元</w:t>
      </w:r>
      <w:r w:rsidR="005D53DA">
        <w:t>人民币</w:t>
      </w:r>
      <w:r w:rsidR="005D53DA">
        <w:rPr>
          <w:rFonts w:hint="eastAsia"/>
        </w:rPr>
        <w:t>/</w:t>
      </w:r>
      <w:r w:rsidR="005D53DA">
        <w:rPr>
          <w:rFonts w:hint="eastAsia"/>
        </w:rPr>
        <w:t>美元</w:t>
      </w:r>
      <w:r w:rsidR="005D53DA">
        <w:t>左右的水平。同时</w:t>
      </w:r>
      <w:r w:rsidR="005D53DA">
        <w:rPr>
          <w:rFonts w:hint="eastAsia"/>
        </w:rPr>
        <w:t>11</w:t>
      </w:r>
      <w:r w:rsidR="005D53DA">
        <w:rPr>
          <w:rFonts w:hint="eastAsia"/>
        </w:rPr>
        <w:t>月份</w:t>
      </w:r>
      <w:r w:rsidR="005D53DA">
        <w:t>外汇储备也出现了止跌</w:t>
      </w:r>
      <w:r w:rsidR="005D53DA">
        <w:rPr>
          <w:rFonts w:hint="eastAsia"/>
        </w:rPr>
        <w:t>，</w:t>
      </w:r>
      <w:r w:rsidR="005D53DA">
        <w:t>比</w:t>
      </w:r>
      <w:r w:rsidR="005D53DA">
        <w:rPr>
          <w:rFonts w:hint="eastAsia"/>
        </w:rPr>
        <w:t>10</w:t>
      </w:r>
      <w:r w:rsidR="005D53DA">
        <w:rPr>
          <w:rFonts w:hint="eastAsia"/>
        </w:rPr>
        <w:t>月份</w:t>
      </w:r>
      <w:r w:rsidR="005D53DA">
        <w:t>微增了</w:t>
      </w:r>
      <w:r w:rsidR="005D53DA">
        <w:rPr>
          <w:rFonts w:hint="eastAsia"/>
        </w:rPr>
        <w:t>约</w:t>
      </w:r>
      <w:r w:rsidR="005D53DA">
        <w:rPr>
          <w:rFonts w:hint="eastAsia"/>
        </w:rPr>
        <w:t>86</w:t>
      </w:r>
      <w:r w:rsidR="005D53DA">
        <w:rPr>
          <w:rFonts w:hint="eastAsia"/>
        </w:rPr>
        <w:t>亿美元</w:t>
      </w:r>
      <w:r w:rsidR="005D53DA">
        <w:t>。</w:t>
      </w:r>
    </w:p>
    <w:p w14:paraId="1FC5D212" w14:textId="77777777" w:rsidR="005D53DA" w:rsidRDefault="005D53DA" w:rsidP="00AB6C2A">
      <w:pPr>
        <w:spacing w:line="360" w:lineRule="auto"/>
        <w:ind w:firstLine="420"/>
        <w:jc w:val="center"/>
      </w:pPr>
      <w:r>
        <w:rPr>
          <w:noProof/>
        </w:rPr>
        <w:drawing>
          <wp:inline distT="0" distB="0" distL="0" distR="0" wp14:anchorId="2FEEB57C" wp14:editId="20173825">
            <wp:extent cx="4572000" cy="2743200"/>
            <wp:effectExtent l="0" t="0" r="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18B38A" w14:textId="77777777" w:rsidR="005D53DA" w:rsidRDefault="005D53DA" w:rsidP="00AB6C2A">
      <w:pPr>
        <w:spacing w:line="360" w:lineRule="auto"/>
        <w:ind w:firstLine="420"/>
        <w:jc w:val="center"/>
      </w:pPr>
      <w:r>
        <w:rPr>
          <w:rFonts w:hint="eastAsia"/>
        </w:rPr>
        <w:t>图</w:t>
      </w:r>
      <w:r>
        <w:rPr>
          <w:rFonts w:hint="eastAsia"/>
        </w:rPr>
        <w:t>2</w:t>
      </w:r>
      <w:r>
        <w:t xml:space="preserve"> </w:t>
      </w:r>
      <w:r>
        <w:rPr>
          <w:rFonts w:hint="eastAsia"/>
        </w:rPr>
        <w:tab/>
      </w:r>
      <w:r>
        <w:rPr>
          <w:rFonts w:hint="eastAsia"/>
        </w:rPr>
        <w:t>人民币兑</w:t>
      </w:r>
      <w:r>
        <w:t>美元汇率和外汇储备</w:t>
      </w:r>
    </w:p>
    <w:p w14:paraId="65AC750B" w14:textId="77777777" w:rsidR="005D53DA" w:rsidRDefault="005D53DA" w:rsidP="00AB6C2A">
      <w:pPr>
        <w:spacing w:line="360" w:lineRule="auto"/>
        <w:ind w:firstLine="420"/>
        <w:jc w:val="center"/>
      </w:pPr>
    </w:p>
    <w:p w14:paraId="241324E1" w14:textId="3D09F5F1" w:rsidR="005D53DA" w:rsidRPr="005D53DA" w:rsidRDefault="00A45C67" w:rsidP="00AB6C2A">
      <w:pPr>
        <w:spacing w:line="360" w:lineRule="auto"/>
        <w:ind w:firstLine="420"/>
        <w:jc w:val="left"/>
      </w:pPr>
      <w:r>
        <w:rPr>
          <w:rFonts w:hint="eastAsia"/>
        </w:rPr>
        <w:lastRenderedPageBreak/>
        <w:t>从性质上看</w:t>
      </w:r>
      <w:r>
        <w:t>，</w:t>
      </w:r>
      <w:r w:rsidR="005D53DA">
        <w:rPr>
          <w:rFonts w:hint="eastAsia"/>
        </w:rPr>
        <w:t>本轮</w:t>
      </w:r>
      <w:r w:rsidR="005D53DA">
        <w:t>人民币</w:t>
      </w:r>
      <w:r>
        <w:rPr>
          <w:rFonts w:hint="eastAsia"/>
        </w:rPr>
        <w:t>兑</w:t>
      </w:r>
      <w:r w:rsidR="005D53DA">
        <w:t>美元贬值是在全球主要货币兑美元贬值的大背景下发生的。</w:t>
      </w:r>
      <w:r w:rsidR="005D53DA">
        <w:rPr>
          <w:rFonts w:hint="eastAsia"/>
        </w:rPr>
        <w:t>从</w:t>
      </w:r>
      <w:r w:rsidR="005D53DA">
        <w:rPr>
          <w:rFonts w:hint="eastAsia"/>
        </w:rPr>
        <w:t>2018</w:t>
      </w:r>
      <w:r w:rsidR="005D53DA">
        <w:rPr>
          <w:rFonts w:hint="eastAsia"/>
        </w:rPr>
        <w:t>年</w:t>
      </w:r>
      <w:r w:rsidR="005D53DA">
        <w:rPr>
          <w:rFonts w:hint="eastAsia"/>
        </w:rPr>
        <w:t>4</w:t>
      </w:r>
      <w:r w:rsidR="005D53DA">
        <w:rPr>
          <w:rFonts w:hint="eastAsia"/>
        </w:rPr>
        <w:t>月份</w:t>
      </w:r>
      <w:r w:rsidR="005D53DA">
        <w:t>到</w:t>
      </w:r>
      <w:r w:rsidR="005D53DA">
        <w:rPr>
          <w:rFonts w:hint="eastAsia"/>
        </w:rPr>
        <w:t>10</w:t>
      </w:r>
      <w:r w:rsidR="005D53DA">
        <w:rPr>
          <w:rFonts w:hint="eastAsia"/>
        </w:rPr>
        <w:t>月份，在</w:t>
      </w:r>
      <w:r w:rsidR="005D53DA">
        <w:t>发达经济体中日元</w:t>
      </w:r>
      <w:r w:rsidR="005D53DA">
        <w:rPr>
          <w:rFonts w:hint="eastAsia"/>
        </w:rPr>
        <w:t>、</w:t>
      </w:r>
      <w:r w:rsidR="005D53DA">
        <w:t>欧元和英镑分别对美元贬值</w:t>
      </w:r>
      <w:r w:rsidR="005D53DA">
        <w:rPr>
          <w:rFonts w:hint="eastAsia"/>
        </w:rPr>
        <w:t>5</w:t>
      </w:r>
      <w:r w:rsidR="005D53DA">
        <w:t>%</w:t>
      </w:r>
      <w:r w:rsidR="005D53DA">
        <w:t>、</w:t>
      </w:r>
      <w:r w:rsidR="005D53DA">
        <w:rPr>
          <w:rFonts w:hint="eastAsia"/>
        </w:rPr>
        <w:t>6</w:t>
      </w:r>
      <w:r w:rsidR="005D53DA">
        <w:t>%</w:t>
      </w:r>
      <w:r w:rsidR="005D53DA">
        <w:t>和</w:t>
      </w:r>
      <w:r w:rsidR="005D53DA">
        <w:rPr>
          <w:rFonts w:hint="eastAsia"/>
        </w:rPr>
        <w:t>7</w:t>
      </w:r>
      <w:r w:rsidR="005D53DA">
        <w:t>%</w:t>
      </w:r>
      <w:r w:rsidR="005D53DA">
        <w:t>。</w:t>
      </w:r>
      <w:r w:rsidR="005D53DA">
        <w:rPr>
          <w:rFonts w:hint="eastAsia"/>
        </w:rPr>
        <w:t>在</w:t>
      </w:r>
      <w:r w:rsidR="005D53DA">
        <w:t>新兴市场国家中，韩元兑美元贬值幅度较低，截至</w:t>
      </w:r>
      <w:r w:rsidR="005D53DA">
        <w:rPr>
          <w:rFonts w:hint="eastAsia"/>
        </w:rPr>
        <w:t>10</w:t>
      </w:r>
      <w:r w:rsidR="005D53DA">
        <w:rPr>
          <w:rFonts w:hint="eastAsia"/>
        </w:rPr>
        <w:t>月份也</w:t>
      </w:r>
      <w:r w:rsidR="005D53DA">
        <w:t>累积</w:t>
      </w:r>
      <w:r w:rsidR="005D53DA">
        <w:rPr>
          <w:rFonts w:hint="eastAsia"/>
        </w:rPr>
        <w:t>贬值</w:t>
      </w:r>
      <w:r w:rsidR="005D53DA">
        <w:rPr>
          <w:rFonts w:hint="eastAsia"/>
        </w:rPr>
        <w:t>6</w:t>
      </w:r>
      <w:r w:rsidR="005D53DA">
        <w:t>%</w:t>
      </w:r>
      <w:r w:rsidR="005D53DA">
        <w:t>。人民币</w:t>
      </w:r>
      <w:r w:rsidR="005D53DA">
        <w:rPr>
          <w:rFonts w:hint="eastAsia"/>
        </w:rPr>
        <w:t>、巴西</w:t>
      </w:r>
      <w:r w:rsidR="005D53DA">
        <w:t>雷亚尔和印度</w:t>
      </w:r>
      <w:r w:rsidR="005D53DA">
        <w:rPr>
          <w:rFonts w:hint="eastAsia"/>
        </w:rPr>
        <w:t>卢比兑</w:t>
      </w:r>
      <w:r w:rsidR="005D53DA">
        <w:t>美元贬值幅度分别在</w:t>
      </w:r>
      <w:r w:rsidR="005D53DA">
        <w:rPr>
          <w:rFonts w:hint="eastAsia"/>
        </w:rPr>
        <w:t>10</w:t>
      </w:r>
      <w:r w:rsidR="005D53DA">
        <w:t>%</w:t>
      </w:r>
      <w:r w:rsidR="005D53DA">
        <w:t>、</w:t>
      </w:r>
      <w:r w:rsidR="005D53DA">
        <w:rPr>
          <w:rFonts w:hint="eastAsia"/>
        </w:rPr>
        <w:t>11</w:t>
      </w:r>
      <w:r w:rsidR="005D53DA">
        <w:t>%</w:t>
      </w:r>
      <w:r w:rsidR="005D53DA">
        <w:t>和</w:t>
      </w:r>
      <w:r w:rsidR="005D53DA">
        <w:rPr>
          <w:rFonts w:hint="eastAsia"/>
        </w:rPr>
        <w:t>12</w:t>
      </w:r>
      <w:r w:rsidR="005D53DA">
        <w:t>%</w:t>
      </w:r>
      <w:r w:rsidR="005D53DA">
        <w:t>。</w:t>
      </w:r>
      <w:r w:rsidR="005D53DA">
        <w:rPr>
          <w:rFonts w:hint="eastAsia"/>
        </w:rPr>
        <w:t>人民币</w:t>
      </w:r>
      <w:r w:rsidR="005D53DA">
        <w:t>虽然加入</w:t>
      </w:r>
      <w:r w:rsidR="005D53DA">
        <w:t>SDR</w:t>
      </w:r>
      <w:r w:rsidR="005D53DA">
        <w:t>货币篮子</w:t>
      </w:r>
      <w:r w:rsidR="005D53DA">
        <w:rPr>
          <w:rFonts w:hint="eastAsia"/>
        </w:rPr>
        <w:t>，也已成为</w:t>
      </w:r>
      <w:r w:rsidR="005D53DA">
        <w:t>一些国家的储备货币，但是</w:t>
      </w:r>
      <w:r w:rsidR="005D53DA">
        <w:rPr>
          <w:rFonts w:hint="eastAsia"/>
        </w:rPr>
        <w:t>作为发展中</w:t>
      </w:r>
      <w:r w:rsidR="005D53DA">
        <w:t>国家的货币，人民币毕竟</w:t>
      </w:r>
      <w:r w:rsidR="005D53DA">
        <w:rPr>
          <w:rFonts w:hint="eastAsia"/>
        </w:rPr>
        <w:t>尚不具备</w:t>
      </w:r>
      <w:r w:rsidR="005D53DA">
        <w:t>避险资产的</w:t>
      </w:r>
      <w:r w:rsidR="005D53DA">
        <w:rPr>
          <w:rFonts w:hint="eastAsia"/>
        </w:rPr>
        <w:t>属性</w:t>
      </w:r>
      <w:r w:rsidR="005D53DA">
        <w:t>。当</w:t>
      </w:r>
      <w:r w:rsidR="005D53DA">
        <w:rPr>
          <w:rFonts w:hint="eastAsia"/>
        </w:rPr>
        <w:t>国际</w:t>
      </w:r>
      <w:r w:rsidR="005D53DA">
        <w:t>金融市场出现波动的时候，出现小幅贬值</w:t>
      </w:r>
      <w:r>
        <w:rPr>
          <w:rFonts w:hint="eastAsia"/>
        </w:rPr>
        <w:t>属于正常</w:t>
      </w:r>
      <w:r>
        <w:t>现象</w:t>
      </w:r>
      <w:r w:rsidR="005D53DA">
        <w:rPr>
          <w:rFonts w:hint="eastAsia"/>
        </w:rPr>
        <w:t>。更</w:t>
      </w:r>
      <w:r w:rsidR="005D53DA">
        <w:t>何况</w:t>
      </w:r>
      <w:r w:rsidR="005D53DA">
        <w:rPr>
          <w:rFonts w:hint="eastAsia"/>
        </w:rPr>
        <w:t>到</w:t>
      </w:r>
      <w:r w:rsidR="005D53DA">
        <w:t>目前为止</w:t>
      </w:r>
      <w:r w:rsidR="005D53DA">
        <w:rPr>
          <w:rFonts w:hint="eastAsia"/>
        </w:rPr>
        <w:t>，在遭遇</w:t>
      </w:r>
      <w:r w:rsidR="005D53DA">
        <w:t>了</w:t>
      </w:r>
      <w:r w:rsidR="005D53DA">
        <w:rPr>
          <w:rFonts w:hint="eastAsia"/>
        </w:rPr>
        <w:t>比其他</w:t>
      </w:r>
      <w:r w:rsidR="005D53DA">
        <w:t>国家更</w:t>
      </w:r>
      <w:r w:rsidR="005D53DA">
        <w:rPr>
          <w:rFonts w:hint="eastAsia"/>
        </w:rPr>
        <w:t>加严峻</w:t>
      </w:r>
      <w:r w:rsidR="005D53DA">
        <w:t>的贸易摩擦</w:t>
      </w:r>
      <w:r w:rsidR="005D53DA">
        <w:rPr>
          <w:rFonts w:hint="eastAsia"/>
        </w:rPr>
        <w:t>之后</w:t>
      </w:r>
      <w:r w:rsidR="005D53DA">
        <w:t>，无论</w:t>
      </w:r>
      <w:r w:rsidR="005D53DA">
        <w:rPr>
          <w:rFonts w:hint="eastAsia"/>
        </w:rPr>
        <w:t>与</w:t>
      </w:r>
      <w:r w:rsidR="005D53DA">
        <w:t>发达国家还是新兴市场国家的相比，人民币贬值幅度并未超出</w:t>
      </w:r>
      <w:r w:rsidR="005D53DA">
        <w:rPr>
          <w:rFonts w:hint="eastAsia"/>
        </w:rPr>
        <w:t>合理范围。相比之下</w:t>
      </w:r>
      <w:r w:rsidR="005D53DA">
        <w:t>人民币</w:t>
      </w:r>
      <w:r w:rsidR="005D53DA">
        <w:rPr>
          <w:rFonts w:hint="eastAsia"/>
        </w:rPr>
        <w:t>比</w:t>
      </w:r>
      <w:r w:rsidR="005D53DA">
        <w:t>国际金融市场上</w:t>
      </w:r>
      <w:r w:rsidR="005D53DA">
        <w:rPr>
          <w:rFonts w:hint="eastAsia"/>
        </w:rPr>
        <w:t>“</w:t>
      </w:r>
      <w:r w:rsidR="005D53DA" w:rsidRPr="005316E1">
        <w:rPr>
          <w:rFonts w:ascii="Times New Roman" w:hAnsi="Times New Roman" w:cs="Times New Roman"/>
        </w:rPr>
        <w:t>脆弱</w:t>
      </w:r>
      <w:r w:rsidR="005D53DA" w:rsidRPr="005316E1">
        <w:rPr>
          <w:rFonts w:ascii="Times New Roman" w:hAnsi="Times New Roman" w:cs="Times New Roman"/>
        </w:rPr>
        <w:t>N</w:t>
      </w:r>
      <w:r w:rsidR="005D53DA" w:rsidRPr="005316E1">
        <w:rPr>
          <w:rFonts w:ascii="Times New Roman" w:hAnsi="Times New Roman" w:cs="Times New Roman"/>
        </w:rPr>
        <w:t>国</w:t>
      </w:r>
      <w:r w:rsidR="005D53DA">
        <w:rPr>
          <w:rFonts w:hint="eastAsia"/>
        </w:rPr>
        <w:t>”的货币要</w:t>
      </w:r>
      <w:r w:rsidR="005D53DA">
        <w:t>稳定许多。</w:t>
      </w:r>
    </w:p>
    <w:p w14:paraId="0B976819" w14:textId="7FED0B9C" w:rsidR="003D05D6" w:rsidRPr="005D53DA" w:rsidRDefault="00A45C67" w:rsidP="00AB6C2A">
      <w:pPr>
        <w:spacing w:line="360" w:lineRule="auto"/>
        <w:ind w:firstLine="420"/>
        <w:jc w:val="left"/>
        <w:rPr>
          <w:rFonts w:asciiTheme="minorEastAsia" w:hAnsiTheme="minorEastAsia"/>
        </w:rPr>
      </w:pPr>
      <w:r>
        <w:rPr>
          <w:rFonts w:hint="eastAsia"/>
        </w:rPr>
        <w:t>第三，</w:t>
      </w:r>
      <w:r w:rsidR="005D53DA">
        <w:rPr>
          <w:rFonts w:hint="eastAsia"/>
        </w:rPr>
        <w:t>进出口和</w:t>
      </w:r>
      <w:r w:rsidR="005D53DA">
        <w:t>吸引外资</w:t>
      </w:r>
      <w:r w:rsidR="005D53DA">
        <w:rPr>
          <w:rFonts w:hint="eastAsia"/>
        </w:rPr>
        <w:t>表现</w:t>
      </w:r>
      <w:r>
        <w:rPr>
          <w:rFonts w:hint="eastAsia"/>
        </w:rPr>
        <w:t>相对</w:t>
      </w:r>
      <w:r w:rsidR="005D53DA">
        <w:rPr>
          <w:rFonts w:hint="eastAsia"/>
        </w:rPr>
        <w:t>稳定</w:t>
      </w:r>
      <w:r w:rsidR="000D2B01">
        <w:rPr>
          <w:rFonts w:hint="eastAsia"/>
        </w:rPr>
        <w:t>。</w:t>
      </w:r>
      <w:r w:rsidR="005D53DA">
        <w:rPr>
          <w:rFonts w:hint="eastAsia"/>
        </w:rPr>
        <w:t>在美国</w:t>
      </w:r>
      <w:r w:rsidR="005D53DA">
        <w:t>发起的贸易摩擦</w:t>
      </w:r>
      <w:r w:rsidR="005D53DA">
        <w:rPr>
          <w:rFonts w:hint="eastAsia"/>
        </w:rPr>
        <w:t>不断</w:t>
      </w:r>
      <w:r w:rsidR="005D53DA">
        <w:t>加剧背景下，我国实现了</w:t>
      </w:r>
      <w:r w:rsidR="005D53DA">
        <w:rPr>
          <w:rFonts w:hint="eastAsia"/>
        </w:rPr>
        <w:t>吸引外资</w:t>
      </w:r>
      <w:r w:rsidR="005D53DA">
        <w:t>和</w:t>
      </w:r>
      <w:r w:rsidR="005D53DA">
        <w:rPr>
          <w:rFonts w:hint="eastAsia"/>
        </w:rPr>
        <w:t>对外贸易</w:t>
      </w:r>
      <w:r w:rsidR="005D53DA">
        <w:t>的基本稳定。</w:t>
      </w:r>
      <w:r w:rsidR="005D53DA">
        <w:rPr>
          <w:rFonts w:hint="eastAsia"/>
        </w:rPr>
        <w:t>2</w:t>
      </w:r>
      <w:r w:rsidR="005D53DA">
        <w:t>018</w:t>
      </w:r>
      <w:r w:rsidR="005D53DA">
        <w:rPr>
          <w:rFonts w:hint="eastAsia"/>
        </w:rPr>
        <w:t>年</w:t>
      </w:r>
      <w:r w:rsidR="005D53DA">
        <w:rPr>
          <w:rFonts w:hint="eastAsia"/>
        </w:rPr>
        <w:t>11</w:t>
      </w:r>
      <w:r w:rsidR="005D53DA">
        <w:rPr>
          <w:rFonts w:hint="eastAsia"/>
        </w:rPr>
        <w:t>月份</w:t>
      </w:r>
      <w:r w:rsidR="005D53DA">
        <w:t>以美元计价的出口累积</w:t>
      </w:r>
      <w:r w:rsidR="005D53DA">
        <w:rPr>
          <w:rFonts w:hint="eastAsia"/>
        </w:rPr>
        <w:t>增长</w:t>
      </w:r>
      <w:r w:rsidR="005D53DA">
        <w:rPr>
          <w:rFonts w:hint="eastAsia"/>
        </w:rPr>
        <w:t>11.</w:t>
      </w:r>
      <w:r w:rsidR="005D53DA">
        <w:t>8%</w:t>
      </w:r>
      <w:r w:rsidR="005D53DA">
        <w:t>，</w:t>
      </w:r>
      <w:r w:rsidR="005D53DA">
        <w:rPr>
          <w:rFonts w:hint="eastAsia"/>
        </w:rPr>
        <w:t>进口</w:t>
      </w:r>
      <w:r w:rsidR="005D53DA">
        <w:t>累积增长</w:t>
      </w:r>
      <w:r w:rsidR="005D53DA">
        <w:rPr>
          <w:rFonts w:hint="eastAsia"/>
        </w:rPr>
        <w:t>18.</w:t>
      </w:r>
      <w:r w:rsidR="005D53DA">
        <w:t>4%</w:t>
      </w:r>
      <w:r w:rsidR="005D53DA">
        <w:rPr>
          <w:rFonts w:hint="eastAsia"/>
        </w:rPr>
        <w:t>；</w:t>
      </w:r>
      <w:r w:rsidR="005D53DA">
        <w:t>以人民币计价的出口和进口分别累计增长</w:t>
      </w:r>
      <w:r w:rsidR="005D53DA">
        <w:rPr>
          <w:rFonts w:hint="eastAsia"/>
        </w:rPr>
        <w:t>7.6</w:t>
      </w:r>
      <w:r w:rsidR="005D53DA">
        <w:t>%</w:t>
      </w:r>
      <w:r w:rsidR="005D53DA">
        <w:t>和</w:t>
      </w:r>
      <w:r w:rsidR="005D53DA">
        <w:rPr>
          <w:rFonts w:hint="eastAsia"/>
        </w:rPr>
        <w:t>14.5</w:t>
      </w:r>
      <w:r w:rsidR="005D53DA">
        <w:t>%</w:t>
      </w:r>
      <w:r w:rsidR="005D53DA">
        <w:t>。</w:t>
      </w:r>
      <w:r w:rsidR="005D53DA">
        <w:rPr>
          <w:rFonts w:hint="eastAsia"/>
        </w:rPr>
        <w:t>同时</w:t>
      </w:r>
      <w:r w:rsidR="005D53DA">
        <w:t>在对外贸易结构方面</w:t>
      </w:r>
      <w:r w:rsidR="005D53DA">
        <w:rPr>
          <w:rFonts w:hint="eastAsia"/>
        </w:rPr>
        <w:t>表现出</w:t>
      </w:r>
      <w:r w:rsidR="005D53DA">
        <w:t>以下特征：</w:t>
      </w:r>
      <w:r w:rsidR="005D53DA">
        <w:rPr>
          <w:rFonts w:hint="eastAsia"/>
        </w:rPr>
        <w:t>一般贸易</w:t>
      </w:r>
      <w:r w:rsidR="005D53DA">
        <w:t>增速快于加工贸易</w:t>
      </w:r>
      <w:r w:rsidR="005D53DA">
        <w:rPr>
          <w:rFonts w:hint="eastAsia"/>
        </w:rPr>
        <w:t>，</w:t>
      </w:r>
      <w:r w:rsidR="005D53DA">
        <w:t>体现出</w:t>
      </w:r>
      <w:r w:rsidR="005D53DA">
        <w:rPr>
          <w:rFonts w:hint="eastAsia"/>
        </w:rPr>
        <w:t>国际贸易</w:t>
      </w:r>
      <w:r w:rsidR="005D53DA">
        <w:t>对我国产业升级的贡献</w:t>
      </w:r>
      <w:r w:rsidR="005D53DA">
        <w:rPr>
          <w:rFonts w:hint="eastAsia"/>
        </w:rPr>
        <w:t>；</w:t>
      </w:r>
      <w:r w:rsidR="005D53DA" w:rsidRPr="005D53DA">
        <w:rPr>
          <w:rFonts w:asciiTheme="minorEastAsia" w:hAnsiTheme="minorEastAsia"/>
        </w:rPr>
        <w:t>对</w:t>
      </w:r>
      <w:r w:rsidR="005D53DA">
        <w:rPr>
          <w:rFonts w:asciiTheme="minorEastAsia" w:hAnsiTheme="minorEastAsia" w:hint="eastAsia"/>
        </w:rPr>
        <w:t>“</w:t>
      </w:r>
      <w:r w:rsidR="005D53DA" w:rsidRPr="005D53DA">
        <w:rPr>
          <w:rFonts w:asciiTheme="minorEastAsia" w:hAnsiTheme="minorEastAsia"/>
        </w:rPr>
        <w:t>一带一路</w:t>
      </w:r>
      <w:r w:rsidR="005D53DA">
        <w:rPr>
          <w:rFonts w:asciiTheme="minorEastAsia" w:hAnsiTheme="minorEastAsia" w:hint="eastAsia"/>
        </w:rPr>
        <w:t>”</w:t>
      </w:r>
      <w:r w:rsidR="005D53DA" w:rsidRPr="005D53DA">
        <w:rPr>
          <w:rFonts w:asciiTheme="minorEastAsia" w:hAnsiTheme="minorEastAsia"/>
        </w:rPr>
        <w:t>沿线国家进出口增速高于整体</w:t>
      </w:r>
      <w:r w:rsidR="005D53DA">
        <w:rPr>
          <w:rFonts w:asciiTheme="minorEastAsia" w:hAnsiTheme="minorEastAsia" w:hint="eastAsia"/>
        </w:rPr>
        <w:t>，</w:t>
      </w:r>
      <w:r w:rsidR="005D53DA">
        <w:rPr>
          <w:rFonts w:asciiTheme="minorEastAsia" w:hAnsiTheme="minorEastAsia"/>
        </w:rPr>
        <w:t>展现了我国国际贸易发展的新方向</w:t>
      </w:r>
      <w:r w:rsidR="005D53DA">
        <w:rPr>
          <w:rFonts w:asciiTheme="minorEastAsia" w:hAnsiTheme="minorEastAsia" w:hint="eastAsia"/>
        </w:rPr>
        <w:t>。</w:t>
      </w:r>
      <w:r w:rsidR="00000F96">
        <w:rPr>
          <w:rFonts w:asciiTheme="minorEastAsia" w:hAnsiTheme="minorEastAsia" w:hint="eastAsia"/>
        </w:rPr>
        <w:t>但</w:t>
      </w:r>
      <w:r w:rsidR="000D2B01">
        <w:rPr>
          <w:rFonts w:asciiTheme="minorEastAsia" w:hAnsiTheme="minorEastAsia" w:hint="eastAsia"/>
        </w:rPr>
        <w:t>应该</w:t>
      </w:r>
      <w:r w:rsidR="000D2B01">
        <w:rPr>
          <w:rFonts w:asciiTheme="minorEastAsia" w:hAnsiTheme="minorEastAsia"/>
        </w:rPr>
        <w:t>注意到</w:t>
      </w:r>
      <w:r w:rsidR="00000F96">
        <w:rPr>
          <w:rFonts w:asciiTheme="minorEastAsia" w:hAnsiTheme="minorEastAsia" w:hint="eastAsia"/>
        </w:rPr>
        <w:t>11</w:t>
      </w:r>
      <w:r w:rsidR="00000F96">
        <w:rPr>
          <w:rFonts w:asciiTheme="minorEastAsia" w:hAnsiTheme="minorEastAsia"/>
        </w:rPr>
        <w:t>月</w:t>
      </w:r>
      <w:r w:rsidR="00000F96">
        <w:rPr>
          <w:rFonts w:asciiTheme="minorEastAsia" w:hAnsiTheme="minorEastAsia" w:hint="eastAsia"/>
        </w:rPr>
        <w:t>进出口当月</w:t>
      </w:r>
      <w:r w:rsidR="00000F96">
        <w:rPr>
          <w:rFonts w:asciiTheme="minorEastAsia" w:hAnsiTheme="minorEastAsia"/>
        </w:rPr>
        <w:t>同比增速比</w:t>
      </w:r>
      <w:r w:rsidR="00000F96">
        <w:rPr>
          <w:rFonts w:asciiTheme="minorEastAsia" w:hAnsiTheme="minorEastAsia" w:hint="eastAsia"/>
        </w:rPr>
        <w:t>10月份</w:t>
      </w:r>
      <w:r w:rsidR="00000F96">
        <w:rPr>
          <w:rFonts w:asciiTheme="minorEastAsia" w:hAnsiTheme="minorEastAsia"/>
        </w:rPr>
        <w:t>出现大幅回落，显示</w:t>
      </w:r>
      <w:r>
        <w:rPr>
          <w:rFonts w:asciiTheme="minorEastAsia" w:hAnsiTheme="minorEastAsia" w:hint="eastAsia"/>
        </w:rPr>
        <w:t>出</w:t>
      </w:r>
      <w:r>
        <w:rPr>
          <w:rFonts w:asciiTheme="minorEastAsia" w:hAnsiTheme="minorEastAsia"/>
        </w:rPr>
        <w:t>可能存在的</w:t>
      </w:r>
      <w:r w:rsidR="00000F96">
        <w:rPr>
          <w:rFonts w:asciiTheme="minorEastAsia" w:hAnsiTheme="minorEastAsia" w:hint="eastAsia"/>
        </w:rPr>
        <w:t>“抢</w:t>
      </w:r>
      <w:r w:rsidR="00000F96">
        <w:rPr>
          <w:rFonts w:asciiTheme="minorEastAsia" w:hAnsiTheme="minorEastAsia"/>
        </w:rPr>
        <w:t>出</w:t>
      </w:r>
      <w:r w:rsidR="00000F96">
        <w:rPr>
          <w:rFonts w:asciiTheme="minorEastAsia" w:hAnsiTheme="minorEastAsia" w:hint="eastAsia"/>
        </w:rPr>
        <w:t>（进）</w:t>
      </w:r>
      <w:r w:rsidR="00000F96">
        <w:rPr>
          <w:rFonts w:asciiTheme="minorEastAsia" w:hAnsiTheme="minorEastAsia"/>
        </w:rPr>
        <w:t>口</w:t>
      </w:r>
      <w:r w:rsidR="00000F96">
        <w:rPr>
          <w:rFonts w:asciiTheme="minorEastAsia" w:hAnsiTheme="minorEastAsia" w:hint="eastAsia"/>
        </w:rPr>
        <w:t>”效应</w:t>
      </w:r>
      <w:r w:rsidR="00000F96">
        <w:rPr>
          <w:rFonts w:asciiTheme="minorEastAsia" w:hAnsiTheme="minorEastAsia"/>
        </w:rPr>
        <w:t>迅速回落</w:t>
      </w:r>
      <w:r w:rsidR="000D2B01">
        <w:rPr>
          <w:rFonts w:asciiTheme="minorEastAsia" w:hAnsiTheme="minorEastAsia" w:hint="eastAsia"/>
        </w:rPr>
        <w:t>。11月以美元计价</w:t>
      </w:r>
      <w:r w:rsidR="000D2B01">
        <w:rPr>
          <w:rFonts w:asciiTheme="minorEastAsia" w:hAnsiTheme="minorEastAsia"/>
        </w:rPr>
        <w:t>的出口和进口同比增速分别为</w:t>
      </w:r>
      <w:r w:rsidR="000D2B01">
        <w:rPr>
          <w:rFonts w:asciiTheme="minorEastAsia" w:hAnsiTheme="minorEastAsia" w:hint="eastAsia"/>
        </w:rPr>
        <w:t>4.6</w:t>
      </w:r>
      <w:r w:rsidR="000D2B01">
        <w:rPr>
          <w:rFonts w:asciiTheme="minorEastAsia" w:hAnsiTheme="minorEastAsia"/>
        </w:rPr>
        <w:t>%和</w:t>
      </w:r>
      <w:r w:rsidR="000D2B01">
        <w:rPr>
          <w:rFonts w:asciiTheme="minorEastAsia" w:hAnsiTheme="minorEastAsia" w:hint="eastAsia"/>
        </w:rPr>
        <w:t>3.1</w:t>
      </w:r>
      <w:r w:rsidR="000D2B01">
        <w:rPr>
          <w:rFonts w:asciiTheme="minorEastAsia" w:hAnsiTheme="minorEastAsia"/>
        </w:rPr>
        <w:t>%，比上月同比增速分别下降了</w:t>
      </w:r>
      <w:r w:rsidR="000D2B01">
        <w:rPr>
          <w:rFonts w:asciiTheme="minorEastAsia" w:hAnsiTheme="minorEastAsia" w:hint="eastAsia"/>
        </w:rPr>
        <w:t>10.3和17.8个</w:t>
      </w:r>
      <w:r w:rsidR="000D2B01">
        <w:rPr>
          <w:rFonts w:asciiTheme="minorEastAsia" w:hAnsiTheme="minorEastAsia"/>
        </w:rPr>
        <w:t>百分点</w:t>
      </w:r>
      <w:r w:rsidR="00000F96">
        <w:rPr>
          <w:rFonts w:asciiTheme="minorEastAsia" w:hAnsiTheme="minorEastAsia"/>
        </w:rPr>
        <w:t>。</w:t>
      </w:r>
      <w:r w:rsidR="000D2B01">
        <w:rPr>
          <w:rFonts w:asciiTheme="minorEastAsia" w:hAnsiTheme="minorEastAsia" w:hint="eastAsia"/>
        </w:rPr>
        <w:t>进出口</w:t>
      </w:r>
      <w:r w:rsidR="000D2B01">
        <w:rPr>
          <w:rFonts w:asciiTheme="minorEastAsia" w:hAnsiTheme="minorEastAsia"/>
        </w:rPr>
        <w:t>增速快速下滑的现象值得特别关注。</w:t>
      </w:r>
    </w:p>
    <w:p w14:paraId="0C691DBF" w14:textId="77777777" w:rsidR="005D53DA" w:rsidRDefault="007E0B26" w:rsidP="00AB6C2A">
      <w:pPr>
        <w:spacing w:line="360" w:lineRule="auto"/>
        <w:jc w:val="center"/>
      </w:pPr>
      <w:r>
        <w:rPr>
          <w:noProof/>
        </w:rPr>
        <w:drawing>
          <wp:inline distT="0" distB="0" distL="0" distR="0" wp14:anchorId="06434870" wp14:editId="61161133">
            <wp:extent cx="4572000" cy="27432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7A6EE25" w14:textId="77777777" w:rsidR="005D53DA" w:rsidRDefault="0044120C" w:rsidP="00AB6C2A">
      <w:pPr>
        <w:spacing w:line="360" w:lineRule="auto"/>
        <w:ind w:firstLine="420"/>
        <w:jc w:val="center"/>
      </w:pPr>
      <w:r>
        <w:rPr>
          <w:rFonts w:hint="eastAsia"/>
        </w:rPr>
        <w:t>图</w:t>
      </w:r>
      <w:r>
        <w:rPr>
          <w:rFonts w:hint="eastAsia"/>
        </w:rPr>
        <w:t>3</w:t>
      </w:r>
      <w:r>
        <w:rPr>
          <w:rFonts w:hint="eastAsia"/>
        </w:rPr>
        <w:tab/>
      </w:r>
      <w:r>
        <w:rPr>
          <w:rFonts w:hint="eastAsia"/>
        </w:rPr>
        <w:tab/>
      </w:r>
      <w:r>
        <w:rPr>
          <w:rFonts w:hint="eastAsia"/>
        </w:rPr>
        <w:t>对外</w:t>
      </w:r>
      <w:r>
        <w:t>贸易同比增速</w:t>
      </w:r>
    </w:p>
    <w:p w14:paraId="1A0ADF67" w14:textId="77777777" w:rsidR="0044120C" w:rsidRDefault="0044120C" w:rsidP="00AB6C2A">
      <w:pPr>
        <w:spacing w:line="360" w:lineRule="auto"/>
        <w:ind w:firstLine="420"/>
        <w:jc w:val="center"/>
      </w:pPr>
    </w:p>
    <w:p w14:paraId="16DF8E67" w14:textId="77777777" w:rsidR="00A45C67" w:rsidRDefault="00A45C67" w:rsidP="00AB6C2A">
      <w:pPr>
        <w:spacing w:line="360" w:lineRule="auto"/>
        <w:ind w:firstLine="420"/>
      </w:pPr>
      <w:r>
        <w:rPr>
          <w:rFonts w:hint="eastAsia"/>
        </w:rPr>
        <w:lastRenderedPageBreak/>
        <w:t>吸引外资方面</w:t>
      </w:r>
      <w:r>
        <w:t>，</w:t>
      </w:r>
      <w:r w:rsidR="00B229F5">
        <w:t>截止到</w:t>
      </w:r>
      <w:r w:rsidR="00B229F5">
        <w:rPr>
          <w:rFonts w:hint="eastAsia"/>
        </w:rPr>
        <w:t>1</w:t>
      </w:r>
      <w:r w:rsidR="00830A16">
        <w:t>1</w:t>
      </w:r>
      <w:r w:rsidR="00B229F5">
        <w:rPr>
          <w:rFonts w:hint="eastAsia"/>
        </w:rPr>
        <w:t>月份</w:t>
      </w:r>
      <w:r w:rsidR="00B229F5">
        <w:t>实际利用外资累积</w:t>
      </w:r>
      <w:r w:rsidR="00B229F5">
        <w:rPr>
          <w:rFonts w:hint="eastAsia"/>
        </w:rPr>
        <w:t>达到</w:t>
      </w:r>
      <w:r w:rsidR="00B229F5">
        <w:rPr>
          <w:rFonts w:hint="eastAsia"/>
        </w:rPr>
        <w:t>1</w:t>
      </w:r>
      <w:r w:rsidR="00830A16">
        <w:t>213</w:t>
      </w:r>
      <w:r w:rsidR="00B229F5">
        <w:rPr>
          <w:rFonts w:hint="eastAsia"/>
        </w:rPr>
        <w:t>亿美元</w:t>
      </w:r>
      <w:r w:rsidR="00B229F5">
        <w:t>，增长率</w:t>
      </w:r>
      <w:r w:rsidR="00B229F5">
        <w:rPr>
          <w:rFonts w:hint="eastAsia"/>
        </w:rPr>
        <w:t>达到</w:t>
      </w:r>
      <w:r w:rsidR="00830A16">
        <w:t>1</w:t>
      </w:r>
      <w:r w:rsidR="00830A16">
        <w:rPr>
          <w:rFonts w:hint="eastAsia"/>
        </w:rPr>
        <w:t>.</w:t>
      </w:r>
      <w:r w:rsidR="00830A16">
        <w:t>1</w:t>
      </w:r>
      <w:r w:rsidR="00B229F5">
        <w:t>%</w:t>
      </w:r>
      <w:r w:rsidR="00B229F5">
        <w:t>。</w:t>
      </w:r>
      <w:r w:rsidR="00830A16">
        <w:rPr>
          <w:rFonts w:hint="eastAsia"/>
        </w:rPr>
        <w:t>由于</w:t>
      </w:r>
      <w:r w:rsidR="00830A16">
        <w:rPr>
          <w:rFonts w:hint="eastAsia"/>
        </w:rPr>
        <w:t>201</w:t>
      </w:r>
      <w:r>
        <w:t>7</w:t>
      </w:r>
      <w:r w:rsidR="00830A16">
        <w:rPr>
          <w:rFonts w:hint="eastAsia"/>
        </w:rPr>
        <w:t>年</w:t>
      </w:r>
      <w:r w:rsidR="00830A16">
        <w:rPr>
          <w:rFonts w:hint="eastAsia"/>
        </w:rPr>
        <w:t>11</w:t>
      </w:r>
      <w:r w:rsidR="00830A16">
        <w:rPr>
          <w:rFonts w:hint="eastAsia"/>
        </w:rPr>
        <w:t>月</w:t>
      </w:r>
      <w:r w:rsidR="00830A16">
        <w:t>当月实际利用外资</w:t>
      </w:r>
      <w:r w:rsidR="00830A16">
        <w:rPr>
          <w:rFonts w:hint="eastAsia"/>
        </w:rPr>
        <w:t>基数</w:t>
      </w:r>
      <w:r w:rsidR="00830A16">
        <w:t>较大，导致实际利用外资累积同比增速在</w:t>
      </w:r>
      <w:r w:rsidR="00830A16">
        <w:rPr>
          <w:rFonts w:hint="eastAsia"/>
        </w:rPr>
        <w:t>11</w:t>
      </w:r>
      <w:r w:rsidR="00830A16">
        <w:rPr>
          <w:rFonts w:hint="eastAsia"/>
        </w:rPr>
        <w:t>月</w:t>
      </w:r>
      <w:r w:rsidR="00830A16">
        <w:t>出现快速下降</w:t>
      </w:r>
      <w:r w:rsidR="00830A16">
        <w:rPr>
          <w:rFonts w:hint="eastAsia"/>
        </w:rPr>
        <w:t>，比</w:t>
      </w:r>
      <w:r w:rsidR="00830A16">
        <w:rPr>
          <w:rFonts w:hint="eastAsia"/>
        </w:rPr>
        <w:t>10</w:t>
      </w:r>
      <w:r w:rsidR="00830A16">
        <w:rPr>
          <w:rFonts w:hint="eastAsia"/>
        </w:rPr>
        <w:t>月</w:t>
      </w:r>
      <w:r w:rsidR="00830A16">
        <w:t>份下降</w:t>
      </w:r>
      <w:r w:rsidR="00830A16">
        <w:rPr>
          <w:rFonts w:hint="eastAsia"/>
        </w:rPr>
        <w:t>5.4</w:t>
      </w:r>
      <w:r w:rsidR="00830A16">
        <w:rPr>
          <w:rFonts w:hint="eastAsia"/>
        </w:rPr>
        <w:t>个百分点</w:t>
      </w:r>
      <w:r w:rsidR="00830A16">
        <w:t>。</w:t>
      </w:r>
    </w:p>
    <w:p w14:paraId="31993B4D" w14:textId="77777777" w:rsidR="00A45C67" w:rsidRDefault="007E0B26" w:rsidP="00AB6C2A">
      <w:pPr>
        <w:spacing w:line="360" w:lineRule="auto"/>
        <w:ind w:firstLine="420"/>
      </w:pPr>
      <w:r>
        <w:rPr>
          <w:rFonts w:hint="eastAsia"/>
        </w:rPr>
        <w:t>外商</w:t>
      </w:r>
      <w:r>
        <w:t>直接投资不断增长用事实驳斥了</w:t>
      </w:r>
      <w:r>
        <w:rPr>
          <w:rFonts w:hint="eastAsia"/>
        </w:rPr>
        <w:t>“</w:t>
      </w:r>
      <w:r>
        <w:t>外资撤</w:t>
      </w:r>
      <w:r w:rsidRPr="007E0B26">
        <w:rPr>
          <w:rFonts w:asciiTheme="minorEastAsia" w:hAnsiTheme="minorEastAsia"/>
        </w:rPr>
        <w:t>离</w:t>
      </w:r>
      <w:r w:rsidRPr="007E0B26">
        <w:rPr>
          <w:rFonts w:asciiTheme="minorEastAsia" w:hAnsiTheme="minorEastAsia" w:hint="eastAsia"/>
        </w:rPr>
        <w:t>论</w:t>
      </w:r>
      <w:r w:rsidRPr="007E0B26">
        <w:rPr>
          <w:rFonts w:asciiTheme="minorEastAsia" w:hAnsiTheme="minorEastAsia"/>
        </w:rPr>
        <w:t>”</w:t>
      </w:r>
      <w:r w:rsidR="00C106A9">
        <w:rPr>
          <w:rFonts w:asciiTheme="minorEastAsia" w:hAnsiTheme="minorEastAsia" w:hint="eastAsia"/>
        </w:rPr>
        <w:t>，</w:t>
      </w:r>
      <w:r w:rsidR="00C106A9">
        <w:rPr>
          <w:rFonts w:asciiTheme="minorEastAsia" w:hAnsiTheme="minorEastAsia"/>
        </w:rPr>
        <w:t>累积</w:t>
      </w:r>
      <w:r w:rsidR="00C106A9">
        <w:rPr>
          <w:rFonts w:asciiTheme="minorEastAsia" w:hAnsiTheme="minorEastAsia" w:hint="eastAsia"/>
        </w:rPr>
        <w:t>实际</w:t>
      </w:r>
      <w:r w:rsidR="00C106A9">
        <w:rPr>
          <w:rFonts w:asciiTheme="minorEastAsia" w:hAnsiTheme="minorEastAsia"/>
        </w:rPr>
        <w:t>利用外资规模并未出现</w:t>
      </w:r>
      <w:r w:rsidR="00C106A9">
        <w:rPr>
          <w:rFonts w:asciiTheme="minorEastAsia" w:hAnsiTheme="minorEastAsia" w:hint="eastAsia"/>
        </w:rPr>
        <w:t>明显</w:t>
      </w:r>
      <w:r w:rsidR="00C106A9">
        <w:rPr>
          <w:rFonts w:asciiTheme="minorEastAsia" w:hAnsiTheme="minorEastAsia"/>
        </w:rPr>
        <w:t>的下降</w:t>
      </w:r>
      <w:r>
        <w:rPr>
          <w:rFonts w:hint="eastAsia"/>
        </w:rPr>
        <w:t>。</w:t>
      </w:r>
      <w:r w:rsidR="00A45C67">
        <w:rPr>
          <w:rFonts w:hint="eastAsia"/>
        </w:rPr>
        <w:t>与此同时</w:t>
      </w:r>
      <w:r w:rsidR="00084540">
        <w:t>吸引外资</w:t>
      </w:r>
      <w:r w:rsidR="00A45C67">
        <w:rPr>
          <w:rFonts w:hint="eastAsia"/>
        </w:rPr>
        <w:t>在</w:t>
      </w:r>
      <w:r w:rsidR="00084540">
        <w:t>结构上呈现改善，</w:t>
      </w:r>
      <w:r w:rsidR="00084540">
        <w:rPr>
          <w:rFonts w:hint="eastAsia"/>
        </w:rPr>
        <w:t>主要表现为</w:t>
      </w:r>
      <w:r w:rsidR="00084540" w:rsidRPr="00084540">
        <w:t>技术制造业保持较强增长态势</w:t>
      </w:r>
      <w:r w:rsidR="00084540" w:rsidRPr="00084540">
        <w:rPr>
          <w:rFonts w:asciiTheme="minorEastAsia" w:hAnsiTheme="minorEastAsia" w:hint="eastAsia"/>
        </w:rPr>
        <w:t>、</w:t>
      </w:r>
      <w:r w:rsidR="00084540" w:rsidRPr="00084540">
        <w:rPr>
          <w:rFonts w:asciiTheme="minorEastAsia" w:hAnsiTheme="minorEastAsia"/>
        </w:rPr>
        <w:t>中西部地区吸收外资增长，自贸试验区增长领先全国</w:t>
      </w:r>
      <w:r w:rsidR="00084540" w:rsidRPr="00084540">
        <w:rPr>
          <w:rFonts w:asciiTheme="minorEastAsia" w:hAnsiTheme="minorEastAsia" w:hint="eastAsia"/>
        </w:rPr>
        <w:t>，</w:t>
      </w:r>
      <w:r w:rsidR="00084540" w:rsidRPr="00907463">
        <w:t>以及主要投资来源地增长态势良好</w:t>
      </w:r>
      <w:r w:rsidR="00084540" w:rsidRPr="00907463">
        <w:rPr>
          <w:rFonts w:hint="eastAsia"/>
        </w:rPr>
        <w:t>。</w:t>
      </w:r>
      <w:r w:rsidR="00907463" w:rsidRPr="00907463">
        <w:rPr>
          <w:rFonts w:hint="eastAsia"/>
        </w:rPr>
        <w:t>特别是</w:t>
      </w:r>
      <w:r w:rsidR="00907463" w:rsidRPr="00907463">
        <w:t>在主要投资来源地中，新加坡、韩国、英国、日本、美国、德国对华投资</w:t>
      </w:r>
      <w:r w:rsidR="00907463" w:rsidRPr="00907463">
        <w:rPr>
          <w:rFonts w:hint="eastAsia"/>
        </w:rPr>
        <w:t>累积</w:t>
      </w:r>
      <w:r w:rsidR="00907463" w:rsidRPr="00907463">
        <w:t>同比分别增长</w:t>
      </w:r>
      <w:r w:rsidR="00907463" w:rsidRPr="00907463">
        <w:t>7.4%</w:t>
      </w:r>
      <w:r w:rsidR="00907463" w:rsidRPr="00907463">
        <w:t>、</w:t>
      </w:r>
      <w:r w:rsidR="00907463" w:rsidRPr="00907463">
        <w:t>38.7%</w:t>
      </w:r>
      <w:r w:rsidR="00907463" w:rsidRPr="00907463">
        <w:t>、</w:t>
      </w:r>
      <w:r w:rsidR="00907463" w:rsidRPr="00907463">
        <w:t>198.9%</w:t>
      </w:r>
      <w:r w:rsidR="00907463" w:rsidRPr="00907463">
        <w:t>、</w:t>
      </w:r>
      <w:r w:rsidR="00907463" w:rsidRPr="00907463">
        <w:t>20.1%</w:t>
      </w:r>
      <w:r w:rsidR="00907463" w:rsidRPr="00907463">
        <w:t>、</w:t>
      </w:r>
      <w:r w:rsidR="00907463" w:rsidRPr="00907463">
        <w:t>3.7%</w:t>
      </w:r>
      <w:r w:rsidR="00907463" w:rsidRPr="00907463">
        <w:t>和</w:t>
      </w:r>
      <w:r w:rsidR="00907463" w:rsidRPr="00907463">
        <w:t>30.2%</w:t>
      </w:r>
      <w:r w:rsidR="00907463" w:rsidRPr="00907463">
        <w:t>，</w:t>
      </w:r>
      <w:r w:rsidR="00907463" w:rsidRPr="00907463">
        <w:rPr>
          <w:rFonts w:asciiTheme="minorEastAsia" w:hAnsiTheme="minorEastAsia"/>
        </w:rPr>
        <w:t>“一带一路”</w:t>
      </w:r>
      <w:r w:rsidR="00907463" w:rsidRPr="00907463">
        <w:t>沿线国家、东盟、欧盟实际投入外资金额</w:t>
      </w:r>
      <w:r w:rsidR="00907463" w:rsidRPr="00907463">
        <w:rPr>
          <w:rFonts w:hint="eastAsia"/>
        </w:rPr>
        <w:t>累积</w:t>
      </w:r>
      <w:r w:rsidR="00907463" w:rsidRPr="00907463">
        <w:t>同比增长</w:t>
      </w:r>
      <w:r w:rsidR="00907463" w:rsidRPr="00907463">
        <w:t>14.9%</w:t>
      </w:r>
      <w:r w:rsidR="00907463" w:rsidRPr="00907463">
        <w:t>、</w:t>
      </w:r>
      <w:r w:rsidR="00907463" w:rsidRPr="00907463">
        <w:t>15.7%</w:t>
      </w:r>
      <w:r w:rsidR="00907463" w:rsidRPr="00907463">
        <w:t>和</w:t>
      </w:r>
      <w:r w:rsidR="00907463" w:rsidRPr="00907463">
        <w:t>16.1%</w:t>
      </w:r>
      <w:r w:rsidR="00907463" w:rsidRPr="00907463">
        <w:t>。</w:t>
      </w:r>
      <w:r w:rsidR="00907463" w:rsidRPr="00907463">
        <w:rPr>
          <w:rFonts w:hint="eastAsia"/>
        </w:rPr>
        <w:t>这一数据</w:t>
      </w:r>
      <w:r w:rsidR="00907463" w:rsidRPr="00907463">
        <w:t>充分显示了国外的高质量投资并</w:t>
      </w:r>
      <w:r w:rsidR="00907463" w:rsidRPr="00907463">
        <w:rPr>
          <w:rFonts w:hint="eastAsia"/>
        </w:rPr>
        <w:t>没有</w:t>
      </w:r>
      <w:r w:rsidR="00907463" w:rsidRPr="00907463">
        <w:t>减少，</w:t>
      </w:r>
      <w:r w:rsidR="00907463" w:rsidRPr="00907463">
        <w:rPr>
          <w:rFonts w:hint="eastAsia"/>
        </w:rPr>
        <w:t>而是保持</w:t>
      </w:r>
      <w:r w:rsidR="00907463" w:rsidRPr="00907463">
        <w:t>快速增长状态。</w:t>
      </w:r>
    </w:p>
    <w:p w14:paraId="0017A065" w14:textId="308CD179" w:rsidR="005D53DA" w:rsidRDefault="00E466CB" w:rsidP="00AB6C2A">
      <w:pPr>
        <w:spacing w:line="360" w:lineRule="auto"/>
        <w:ind w:firstLine="420"/>
      </w:pPr>
      <w:r>
        <w:rPr>
          <w:rFonts w:hint="eastAsia"/>
        </w:rPr>
        <w:t>作为</w:t>
      </w:r>
      <w:r>
        <w:t>相互印证的证据，国家统计局公布的数据显示</w:t>
      </w:r>
      <w:r>
        <w:rPr>
          <w:rFonts w:hint="eastAsia"/>
        </w:rPr>
        <w:t>2018</w:t>
      </w:r>
      <w:r>
        <w:rPr>
          <w:rFonts w:hint="eastAsia"/>
        </w:rPr>
        <w:t>年</w:t>
      </w:r>
      <w:r>
        <w:t>前</w:t>
      </w:r>
      <w:r>
        <w:rPr>
          <w:rFonts w:hint="eastAsia"/>
        </w:rPr>
        <w:t>11</w:t>
      </w:r>
      <w:r>
        <w:rPr>
          <w:rFonts w:hint="eastAsia"/>
        </w:rPr>
        <w:t>个月</w:t>
      </w:r>
      <w:r>
        <w:t>，</w:t>
      </w:r>
      <w:r>
        <w:rPr>
          <w:rFonts w:hint="eastAsia"/>
        </w:rPr>
        <w:t>外商</w:t>
      </w:r>
      <w:r>
        <w:t>投资企业</w:t>
      </w:r>
      <w:r>
        <w:rPr>
          <w:rFonts w:hint="eastAsia"/>
        </w:rPr>
        <w:t>投资</w:t>
      </w:r>
      <w:r>
        <w:t>累计增速</w:t>
      </w:r>
      <w:r>
        <w:rPr>
          <w:rFonts w:hint="eastAsia"/>
        </w:rPr>
        <w:t>为</w:t>
      </w:r>
      <w:r>
        <w:rPr>
          <w:rFonts w:hint="eastAsia"/>
        </w:rPr>
        <w:t>6.1</w:t>
      </w:r>
      <w:r>
        <w:t>%</w:t>
      </w:r>
      <w:r>
        <w:t>，而</w:t>
      </w:r>
      <w:r>
        <w:rPr>
          <w:rFonts w:hint="eastAsia"/>
          <w:color w:val="333333"/>
        </w:rPr>
        <w:t>港澳台商投资企业</w:t>
      </w:r>
      <w:r>
        <w:rPr>
          <w:rFonts w:hint="eastAsia"/>
        </w:rPr>
        <w:t>投资</w:t>
      </w:r>
      <w:r>
        <w:t>累计增速</w:t>
      </w:r>
      <w:r>
        <w:rPr>
          <w:rFonts w:hint="eastAsia"/>
        </w:rPr>
        <w:t>为</w:t>
      </w:r>
      <w:r>
        <w:rPr>
          <w:rFonts w:hint="eastAsia"/>
        </w:rPr>
        <w:t>-6.1</w:t>
      </w:r>
      <w:r>
        <w:t>%</w:t>
      </w:r>
      <w:r>
        <w:rPr>
          <w:rFonts w:hint="eastAsia"/>
        </w:rPr>
        <w:t>。</w:t>
      </w:r>
      <w:r>
        <w:t>由此</w:t>
      </w:r>
      <w:r>
        <w:rPr>
          <w:rFonts w:hint="eastAsia"/>
        </w:rPr>
        <w:t>判断</w:t>
      </w:r>
      <w:r>
        <w:t>统计口径下的外商直接投资增速下降主要是港澳台企业投资减少造成的。</w:t>
      </w:r>
      <w:r w:rsidR="00B229F5">
        <w:t>在</w:t>
      </w:r>
      <w:r w:rsidR="00B229F5">
        <w:rPr>
          <w:rFonts w:hint="eastAsia"/>
        </w:rPr>
        <w:t>扩大吸引外资</w:t>
      </w:r>
      <w:r w:rsidR="00B229F5">
        <w:t>的同时，对外</w:t>
      </w:r>
      <w:r w:rsidR="005B7BF6">
        <w:rPr>
          <w:rFonts w:hint="eastAsia"/>
        </w:rPr>
        <w:t>投资</w:t>
      </w:r>
      <w:r w:rsidR="005B7BF6">
        <w:t>呈现增速下降的趋势。截止到</w:t>
      </w:r>
      <w:r w:rsidR="005B7BF6">
        <w:rPr>
          <w:rFonts w:hint="eastAsia"/>
        </w:rPr>
        <w:t>10</w:t>
      </w:r>
      <w:r w:rsidR="005B7BF6">
        <w:rPr>
          <w:rFonts w:hint="eastAsia"/>
        </w:rPr>
        <w:t>月份对外</w:t>
      </w:r>
      <w:r w:rsidR="005B7BF6">
        <w:t>非金融类</w:t>
      </w:r>
      <w:r w:rsidR="005B7BF6">
        <w:rPr>
          <w:rFonts w:hint="eastAsia"/>
        </w:rPr>
        <w:t>直接</w:t>
      </w:r>
      <w:r w:rsidR="005B7BF6">
        <w:t>投资累积</w:t>
      </w:r>
      <w:r w:rsidR="005B7BF6">
        <w:rPr>
          <w:rFonts w:hint="eastAsia"/>
        </w:rPr>
        <w:t>达到</w:t>
      </w:r>
      <w:r w:rsidR="005B7BF6">
        <w:rPr>
          <w:rFonts w:hint="eastAsia"/>
        </w:rPr>
        <w:t>896</w:t>
      </w:r>
      <w:r w:rsidR="005B7BF6">
        <w:rPr>
          <w:rFonts w:hint="eastAsia"/>
        </w:rPr>
        <w:t>亿美元</w:t>
      </w:r>
      <w:r w:rsidR="005B7BF6">
        <w:t>，增长率</w:t>
      </w:r>
      <w:r w:rsidR="00A45C67">
        <w:rPr>
          <w:rFonts w:hint="eastAsia"/>
        </w:rPr>
        <w:t>为</w:t>
      </w:r>
      <w:r w:rsidR="005B7BF6">
        <w:rPr>
          <w:rFonts w:hint="eastAsia"/>
        </w:rPr>
        <w:t>3.8</w:t>
      </w:r>
      <w:r w:rsidR="005B7BF6">
        <w:t>%</w:t>
      </w:r>
      <w:r w:rsidR="005B7BF6">
        <w:t>。</w:t>
      </w:r>
      <w:r w:rsidR="005B7BF6">
        <w:rPr>
          <w:rFonts w:hint="eastAsia"/>
        </w:rPr>
        <w:t>在积极</w:t>
      </w:r>
      <w:r w:rsidR="005B7BF6">
        <w:t>扩大吸引外资的同时谨慎扩大对外直接投资有利于在国际金融环境动荡的背景下维护我国金融安全。</w:t>
      </w:r>
    </w:p>
    <w:p w14:paraId="2570FF29" w14:textId="58A88DF0" w:rsidR="005D53DA" w:rsidRDefault="00830A16" w:rsidP="00AB6C2A">
      <w:pPr>
        <w:spacing w:line="360" w:lineRule="auto"/>
        <w:jc w:val="center"/>
      </w:pPr>
      <w:r>
        <w:rPr>
          <w:noProof/>
        </w:rPr>
        <w:drawing>
          <wp:inline distT="0" distB="0" distL="0" distR="0" wp14:anchorId="555A0E72" wp14:editId="37E274AE">
            <wp:extent cx="4572000" cy="274320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5A4427" w14:textId="254CEE0B" w:rsidR="005D53DA" w:rsidRPr="005D53DA" w:rsidRDefault="0044120C" w:rsidP="00AB6C2A">
      <w:pPr>
        <w:spacing w:line="360" w:lineRule="auto"/>
        <w:ind w:firstLine="420"/>
        <w:jc w:val="center"/>
      </w:pPr>
      <w:r>
        <w:rPr>
          <w:rFonts w:hint="eastAsia"/>
        </w:rPr>
        <w:t>图</w:t>
      </w:r>
      <w:r>
        <w:rPr>
          <w:rFonts w:hint="eastAsia"/>
        </w:rPr>
        <w:t>4</w:t>
      </w:r>
      <w:r>
        <w:rPr>
          <w:rFonts w:hint="eastAsia"/>
        </w:rPr>
        <w:tab/>
      </w:r>
      <w:r>
        <w:rPr>
          <w:rFonts w:hint="eastAsia"/>
        </w:rPr>
        <w:tab/>
      </w:r>
      <w:r>
        <w:rPr>
          <w:rFonts w:hint="eastAsia"/>
        </w:rPr>
        <w:t>实际利用外资</w:t>
      </w:r>
      <w:r>
        <w:t>和对外直接投资累计增速</w:t>
      </w:r>
    </w:p>
    <w:p w14:paraId="48F5634F" w14:textId="03FD5AC8" w:rsidR="00F31541" w:rsidRPr="00704FAF" w:rsidRDefault="00FE5CAD" w:rsidP="00AB6C2A">
      <w:pPr>
        <w:pStyle w:val="af"/>
        <w:spacing w:line="360" w:lineRule="auto"/>
        <w:rPr>
          <w:sz w:val="28"/>
          <w:szCs w:val="28"/>
        </w:rPr>
      </w:pPr>
      <w:r w:rsidRPr="00704FAF">
        <w:rPr>
          <w:rFonts w:hint="eastAsia"/>
          <w:sz w:val="28"/>
          <w:szCs w:val="28"/>
        </w:rPr>
        <w:t>二、</w:t>
      </w:r>
      <w:r w:rsidR="00F31541" w:rsidRPr="00704FAF">
        <w:rPr>
          <w:rFonts w:hint="eastAsia"/>
          <w:sz w:val="28"/>
          <w:szCs w:val="28"/>
        </w:rPr>
        <w:t>总需求短期内</w:t>
      </w:r>
      <w:r w:rsidR="00F31541" w:rsidRPr="00704FAF">
        <w:rPr>
          <w:sz w:val="28"/>
          <w:szCs w:val="28"/>
        </w:rPr>
        <w:t>面临</w:t>
      </w:r>
      <w:r w:rsidR="008D0EE2" w:rsidRPr="00704FAF">
        <w:rPr>
          <w:sz w:val="28"/>
          <w:szCs w:val="28"/>
        </w:rPr>
        <w:t>下滑</w:t>
      </w:r>
      <w:r w:rsidR="000D2B01" w:rsidRPr="00704FAF">
        <w:rPr>
          <w:rFonts w:hint="eastAsia"/>
          <w:sz w:val="28"/>
          <w:szCs w:val="28"/>
        </w:rPr>
        <w:t>加速</w:t>
      </w:r>
      <w:r w:rsidR="00F31541" w:rsidRPr="00704FAF">
        <w:rPr>
          <w:sz w:val="28"/>
          <w:szCs w:val="28"/>
        </w:rPr>
        <w:t>压力</w:t>
      </w:r>
    </w:p>
    <w:p w14:paraId="79601740" w14:textId="7D8F15C6" w:rsidR="000D2B01" w:rsidRPr="00FE5CAD" w:rsidRDefault="00A45C67" w:rsidP="00AB6C2A">
      <w:pPr>
        <w:spacing w:line="360" w:lineRule="auto"/>
        <w:ind w:firstLine="420"/>
        <w:jc w:val="left"/>
      </w:pPr>
      <w:r>
        <w:t>在</w:t>
      </w:r>
      <w:r>
        <w:rPr>
          <w:rFonts w:hint="eastAsia"/>
        </w:rPr>
        <w:t>整体</w:t>
      </w:r>
      <w:r>
        <w:t>稳定的大格局下，总需求</w:t>
      </w:r>
      <w:r>
        <w:rPr>
          <w:rFonts w:hint="eastAsia"/>
        </w:rPr>
        <w:t>增速</w:t>
      </w:r>
      <w:r>
        <w:t>出现下滑加速的迹象</w:t>
      </w:r>
      <w:r>
        <w:rPr>
          <w:rFonts w:hint="eastAsia"/>
        </w:rPr>
        <w:t>，</w:t>
      </w:r>
      <w:r>
        <w:t>值得</w:t>
      </w:r>
      <w:r>
        <w:rPr>
          <w:rFonts w:hint="eastAsia"/>
        </w:rPr>
        <w:t>特别</w:t>
      </w:r>
      <w:r>
        <w:t>关注。</w:t>
      </w:r>
      <w:r>
        <w:rPr>
          <w:rFonts w:hint="eastAsia"/>
        </w:rPr>
        <w:t>总需求</w:t>
      </w:r>
      <w:r>
        <w:t>下滑</w:t>
      </w:r>
      <w:r>
        <w:lastRenderedPageBreak/>
        <w:t>加速</w:t>
      </w:r>
      <w:r>
        <w:rPr>
          <w:rFonts w:hint="eastAsia"/>
        </w:rPr>
        <w:t>主要体现在以下</w:t>
      </w:r>
      <w:r>
        <w:t>几个方面。</w:t>
      </w:r>
    </w:p>
    <w:p w14:paraId="61518427" w14:textId="75989384" w:rsidR="000A0A00" w:rsidRDefault="000D2B01" w:rsidP="00AB6C2A">
      <w:pPr>
        <w:spacing w:line="360" w:lineRule="auto"/>
        <w:ind w:firstLine="420"/>
        <w:jc w:val="left"/>
      </w:pPr>
      <w:r>
        <w:rPr>
          <w:rFonts w:hint="eastAsia"/>
        </w:rPr>
        <w:t>第一，</w:t>
      </w:r>
      <w:r w:rsidR="00010846">
        <w:rPr>
          <w:rFonts w:hint="eastAsia"/>
        </w:rPr>
        <w:t>名义</w:t>
      </w:r>
      <w:r w:rsidR="00010846">
        <w:t>总需求</w:t>
      </w:r>
      <w:r>
        <w:rPr>
          <w:rFonts w:hint="eastAsia"/>
        </w:rPr>
        <w:t>增速</w:t>
      </w:r>
      <w:r w:rsidR="007F2BF9">
        <w:rPr>
          <w:rFonts w:hint="eastAsia"/>
        </w:rPr>
        <w:t>面临</w:t>
      </w:r>
      <w:r w:rsidR="007F2BF9">
        <w:t>持续下滑压力。</w:t>
      </w:r>
      <w:r w:rsidR="000A0A00">
        <w:rPr>
          <w:rFonts w:hint="eastAsia"/>
        </w:rPr>
        <w:t>以</w:t>
      </w:r>
      <w:r w:rsidR="000A0A00">
        <w:t>金融业和房地产业为代表的传统支撑产业动力逐渐消失，以</w:t>
      </w:r>
      <w:r w:rsidR="000A0A00" w:rsidRPr="000A0A00">
        <w:rPr>
          <w:rFonts w:hint="eastAsia"/>
        </w:rPr>
        <w:t>信息传输、软件和信息技术服务业</w:t>
      </w:r>
      <w:r w:rsidR="000A0A00">
        <w:rPr>
          <w:rFonts w:hint="eastAsia"/>
        </w:rPr>
        <w:t>为</w:t>
      </w:r>
      <w:r w:rsidR="000A0A00">
        <w:t>代表的新兴</w:t>
      </w:r>
      <w:r w:rsidR="000A0A00">
        <w:rPr>
          <w:rFonts w:hint="eastAsia"/>
        </w:rPr>
        <w:t>产业</w:t>
      </w:r>
      <w:r w:rsidR="007F2BF9">
        <w:rPr>
          <w:rFonts w:hint="eastAsia"/>
        </w:rPr>
        <w:t>所代表的</w:t>
      </w:r>
      <w:r w:rsidR="007F2BF9">
        <w:t>新动能尚无法</w:t>
      </w:r>
      <w:r w:rsidR="007F2BF9">
        <w:rPr>
          <w:rFonts w:hint="eastAsia"/>
        </w:rPr>
        <w:t>独立</w:t>
      </w:r>
      <w:r w:rsidR="007F2BF9">
        <w:t>承担起</w:t>
      </w:r>
      <w:r w:rsidR="007F2BF9">
        <w:rPr>
          <w:rFonts w:hint="eastAsia"/>
        </w:rPr>
        <w:t>稳定</w:t>
      </w:r>
      <w:r w:rsidR="007F2BF9">
        <w:t>总需求的重担。</w:t>
      </w:r>
    </w:p>
    <w:p w14:paraId="6E683A61" w14:textId="6D16B767" w:rsidR="00010846" w:rsidRDefault="003F476B" w:rsidP="00AB6C2A">
      <w:pPr>
        <w:spacing w:line="360" w:lineRule="auto"/>
        <w:ind w:firstLine="420"/>
      </w:pPr>
      <w:r>
        <w:rPr>
          <w:rFonts w:hint="eastAsia"/>
        </w:rPr>
        <w:t>2018</w:t>
      </w:r>
      <w:r>
        <w:rPr>
          <w:rFonts w:hint="eastAsia"/>
        </w:rPr>
        <w:t>年</w:t>
      </w:r>
      <w:r>
        <w:rPr>
          <w:rFonts w:hint="eastAsia"/>
        </w:rPr>
        <w:t>3</w:t>
      </w:r>
      <w:r>
        <w:rPr>
          <w:rFonts w:hint="eastAsia"/>
        </w:rPr>
        <w:t>季度</w:t>
      </w:r>
      <w:r>
        <w:t>当季名义</w:t>
      </w:r>
      <w:r>
        <w:t>GDP</w:t>
      </w:r>
      <w:r>
        <w:t>增速为</w:t>
      </w:r>
      <w:r>
        <w:rPr>
          <w:rFonts w:hint="eastAsia"/>
        </w:rPr>
        <w:t>9.6</w:t>
      </w:r>
      <w:r>
        <w:t>%</w:t>
      </w:r>
      <w:r>
        <w:t>，比去年同季度降低</w:t>
      </w:r>
      <w:r>
        <w:rPr>
          <w:rFonts w:hint="eastAsia"/>
        </w:rPr>
        <w:t>1.6</w:t>
      </w:r>
      <w:r>
        <w:rPr>
          <w:rFonts w:hint="eastAsia"/>
        </w:rPr>
        <w:t>个</w:t>
      </w:r>
      <w:r>
        <w:t>百分点。</w:t>
      </w:r>
      <w:r w:rsidR="007F2BF9">
        <w:rPr>
          <w:rFonts w:hint="eastAsia"/>
        </w:rPr>
        <w:t>其中</w:t>
      </w:r>
      <w:r w:rsidR="00057C0D">
        <w:rPr>
          <w:rFonts w:hint="eastAsia"/>
        </w:rPr>
        <w:t>金融业</w:t>
      </w:r>
      <w:r w:rsidR="00057C0D">
        <w:t>和房地产业需求下滑明显，拉动总需求下降；</w:t>
      </w:r>
      <w:r w:rsidR="00057C0D" w:rsidRPr="00057C0D">
        <w:rPr>
          <w:rFonts w:hint="eastAsia"/>
        </w:rPr>
        <w:t>信息传输、软件和信息技术服务业</w:t>
      </w:r>
      <w:r w:rsidR="00057C0D">
        <w:rPr>
          <w:rFonts w:hint="eastAsia"/>
        </w:rPr>
        <w:t>需求</w:t>
      </w:r>
      <w:r w:rsidR="00057C0D">
        <w:t>增长</w:t>
      </w:r>
      <w:r w:rsidR="00057C0D">
        <w:rPr>
          <w:rFonts w:hint="eastAsia"/>
        </w:rPr>
        <w:t>迅猛</w:t>
      </w:r>
      <w:r w:rsidR="00057C0D">
        <w:t>，但难以实现全面拉动</w:t>
      </w:r>
      <w:r w:rsidR="00057C0D">
        <w:rPr>
          <w:rFonts w:hint="eastAsia"/>
        </w:rPr>
        <w:t>总需求</w:t>
      </w:r>
      <w:r w:rsidR="00057C0D">
        <w:t>的</w:t>
      </w:r>
      <w:r w:rsidR="00057C0D">
        <w:rPr>
          <w:rFonts w:hint="eastAsia"/>
        </w:rPr>
        <w:t>重任</w:t>
      </w:r>
      <w:r w:rsidR="00057C0D">
        <w:t>。</w:t>
      </w:r>
      <w:r>
        <w:rPr>
          <w:rFonts w:hint="eastAsia"/>
        </w:rPr>
        <w:t>2018</w:t>
      </w:r>
      <w:r>
        <w:rPr>
          <w:rFonts w:hint="eastAsia"/>
        </w:rPr>
        <w:t>年</w:t>
      </w:r>
      <w:r>
        <w:rPr>
          <w:rFonts w:hint="eastAsia"/>
        </w:rPr>
        <w:t>3</w:t>
      </w:r>
      <w:r>
        <w:rPr>
          <w:rFonts w:hint="eastAsia"/>
        </w:rPr>
        <w:t>季度</w:t>
      </w:r>
      <w:r>
        <w:t>金融业当季名义</w:t>
      </w:r>
      <w:r>
        <w:rPr>
          <w:rFonts w:hint="eastAsia"/>
        </w:rPr>
        <w:t>增长率</w:t>
      </w:r>
      <w:r>
        <w:t>为</w:t>
      </w:r>
      <w:r>
        <w:rPr>
          <w:rFonts w:hint="eastAsia"/>
        </w:rPr>
        <w:t>5.2</w:t>
      </w:r>
      <w:r>
        <w:t>%</w:t>
      </w:r>
      <w:r>
        <w:rPr>
          <w:rFonts w:hint="eastAsia"/>
        </w:rPr>
        <w:t>，</w:t>
      </w:r>
      <w:r>
        <w:t>是除</w:t>
      </w:r>
      <w:r>
        <w:rPr>
          <w:rFonts w:hint="eastAsia"/>
        </w:rPr>
        <w:t>农林牧渔业</w:t>
      </w:r>
      <w:r>
        <w:t>之外增速最低的经济部门</w:t>
      </w:r>
      <w:r>
        <w:rPr>
          <w:rFonts w:hint="eastAsia"/>
        </w:rPr>
        <w:t>。</w:t>
      </w:r>
      <w:r>
        <w:t>房地产</w:t>
      </w:r>
      <w:r>
        <w:rPr>
          <w:rFonts w:hint="eastAsia"/>
        </w:rPr>
        <w:t>业</w:t>
      </w:r>
      <w:r>
        <w:t>自</w:t>
      </w:r>
      <w:r>
        <w:rPr>
          <w:rFonts w:hint="eastAsia"/>
        </w:rPr>
        <w:t>2016</w:t>
      </w:r>
      <w:r>
        <w:rPr>
          <w:rFonts w:hint="eastAsia"/>
        </w:rPr>
        <w:t>年</w:t>
      </w:r>
      <w:r>
        <w:rPr>
          <w:rFonts w:hint="eastAsia"/>
        </w:rPr>
        <w:t>1</w:t>
      </w:r>
      <w:r>
        <w:rPr>
          <w:rFonts w:hint="eastAsia"/>
        </w:rPr>
        <w:t>季度</w:t>
      </w:r>
      <w:r>
        <w:t>以来呈现趋势性下滑，</w:t>
      </w:r>
      <w:r>
        <w:rPr>
          <w:rFonts w:hint="eastAsia"/>
        </w:rPr>
        <w:t>2018</w:t>
      </w:r>
      <w:r>
        <w:rPr>
          <w:rFonts w:hint="eastAsia"/>
        </w:rPr>
        <w:t>年</w:t>
      </w:r>
      <w:r>
        <w:rPr>
          <w:rFonts w:hint="eastAsia"/>
        </w:rPr>
        <w:t>3</w:t>
      </w:r>
      <w:r>
        <w:rPr>
          <w:rFonts w:hint="eastAsia"/>
        </w:rPr>
        <w:t>季度</w:t>
      </w:r>
      <w:r>
        <w:t>当季名义</w:t>
      </w:r>
      <w:r>
        <w:rPr>
          <w:rFonts w:hint="eastAsia"/>
        </w:rPr>
        <w:t>增长率</w:t>
      </w:r>
      <w:r>
        <w:t>为</w:t>
      </w:r>
      <w:r>
        <w:t>11%</w:t>
      </w:r>
      <w:r>
        <w:t>，略高于名义</w:t>
      </w:r>
      <w:r>
        <w:t>GDP</w:t>
      </w:r>
      <w:r>
        <w:t>增速</w:t>
      </w:r>
      <w:r>
        <w:rPr>
          <w:rFonts w:hint="eastAsia"/>
        </w:rPr>
        <w:t>。</w:t>
      </w:r>
      <w:r w:rsidR="000A0A00">
        <w:rPr>
          <w:rFonts w:hint="eastAsia"/>
        </w:rPr>
        <w:t>制造业</w:t>
      </w:r>
      <w:r w:rsidR="000A0A00">
        <w:t>增速在</w:t>
      </w:r>
      <w:r w:rsidR="000A0A00">
        <w:rPr>
          <w:rFonts w:hint="eastAsia"/>
        </w:rPr>
        <w:t>2017</w:t>
      </w:r>
      <w:r w:rsidR="000A0A00">
        <w:rPr>
          <w:rFonts w:hint="eastAsia"/>
        </w:rPr>
        <w:t>年</w:t>
      </w:r>
      <w:r w:rsidR="000A0A00">
        <w:rPr>
          <w:rFonts w:hint="eastAsia"/>
        </w:rPr>
        <w:t>1</w:t>
      </w:r>
      <w:r w:rsidR="000A0A00">
        <w:rPr>
          <w:rFonts w:hint="eastAsia"/>
        </w:rPr>
        <w:t>季度</w:t>
      </w:r>
      <w:r w:rsidR="000A0A00">
        <w:t>出现阶段性高</w:t>
      </w:r>
      <w:r w:rsidR="000A0A00">
        <w:rPr>
          <w:rFonts w:hint="eastAsia"/>
        </w:rPr>
        <w:t>点</w:t>
      </w:r>
      <w:r w:rsidR="000A0A00">
        <w:rPr>
          <w:rFonts w:hint="eastAsia"/>
        </w:rPr>
        <w:t>14.1</w:t>
      </w:r>
      <w:r w:rsidR="000A0A00">
        <w:t>%</w:t>
      </w:r>
      <w:r w:rsidR="000A0A00">
        <w:t>之后也呈现趋势性下滑，</w:t>
      </w:r>
      <w:r w:rsidR="000A0A00">
        <w:rPr>
          <w:rFonts w:hint="eastAsia"/>
        </w:rPr>
        <w:t>2018</w:t>
      </w:r>
      <w:r w:rsidR="000A0A00">
        <w:rPr>
          <w:rFonts w:hint="eastAsia"/>
        </w:rPr>
        <w:t>年</w:t>
      </w:r>
      <w:r w:rsidR="000A0A00">
        <w:rPr>
          <w:rFonts w:hint="eastAsia"/>
        </w:rPr>
        <w:t>3</w:t>
      </w:r>
      <w:r w:rsidR="000A0A00">
        <w:rPr>
          <w:rFonts w:hint="eastAsia"/>
        </w:rPr>
        <w:t>季度</w:t>
      </w:r>
      <w:r w:rsidR="000A0A00">
        <w:t>金融业当季名义</w:t>
      </w:r>
      <w:r w:rsidR="000A0A00">
        <w:rPr>
          <w:rFonts w:hint="eastAsia"/>
        </w:rPr>
        <w:t>增长率</w:t>
      </w:r>
      <w:r w:rsidR="000A0A00">
        <w:t>为</w:t>
      </w:r>
      <w:r w:rsidR="000A0A00">
        <w:t>10</w:t>
      </w:r>
      <w:r w:rsidR="000A0A00">
        <w:rPr>
          <w:rFonts w:hint="eastAsia"/>
        </w:rPr>
        <w:t>.2</w:t>
      </w:r>
      <w:r w:rsidR="000A0A00">
        <w:t>%</w:t>
      </w:r>
      <w:r w:rsidR="007F2BF9">
        <w:rPr>
          <w:rFonts w:hint="eastAsia"/>
        </w:rPr>
        <w:t>。</w:t>
      </w:r>
      <w:r w:rsidR="007F2BF9">
        <w:t>以</w:t>
      </w:r>
      <w:r w:rsidR="007F2BF9" w:rsidRPr="000A0A00">
        <w:rPr>
          <w:rFonts w:hint="eastAsia"/>
        </w:rPr>
        <w:t>信息传输、软件和信息技术服务业</w:t>
      </w:r>
      <w:r w:rsidR="007F2BF9">
        <w:rPr>
          <w:rFonts w:hint="eastAsia"/>
        </w:rPr>
        <w:t>为</w:t>
      </w:r>
      <w:r w:rsidR="007F2BF9">
        <w:t>代表的新兴</w:t>
      </w:r>
      <w:r w:rsidR="007F2BF9">
        <w:rPr>
          <w:rFonts w:hint="eastAsia"/>
        </w:rPr>
        <w:t>产业增长</w:t>
      </w:r>
      <w:r w:rsidR="007F2BF9">
        <w:t>迅猛，</w:t>
      </w:r>
      <w:r w:rsidR="007F2BF9">
        <w:rPr>
          <w:rFonts w:hint="eastAsia"/>
        </w:rPr>
        <w:t>2016</w:t>
      </w:r>
      <w:r w:rsidR="007F2BF9">
        <w:rPr>
          <w:rFonts w:hint="eastAsia"/>
        </w:rPr>
        <w:t>年</w:t>
      </w:r>
      <w:r w:rsidR="007F2BF9">
        <w:rPr>
          <w:rFonts w:hint="eastAsia"/>
        </w:rPr>
        <w:t>1</w:t>
      </w:r>
      <w:r w:rsidR="007F2BF9">
        <w:rPr>
          <w:rFonts w:hint="eastAsia"/>
        </w:rPr>
        <w:t>季度</w:t>
      </w:r>
      <w:r w:rsidR="007F2BF9">
        <w:t>增长率</w:t>
      </w:r>
      <w:r w:rsidR="007F2BF9">
        <w:rPr>
          <w:rFonts w:hint="eastAsia"/>
        </w:rPr>
        <w:t>为</w:t>
      </w:r>
      <w:r w:rsidR="007F2BF9">
        <w:rPr>
          <w:rFonts w:hint="eastAsia"/>
        </w:rPr>
        <w:t>17.1</w:t>
      </w:r>
      <w:r w:rsidR="007F2BF9">
        <w:t>%</w:t>
      </w:r>
      <w:r w:rsidR="007F2BF9">
        <w:rPr>
          <w:rFonts w:hint="eastAsia"/>
        </w:rPr>
        <w:t>，</w:t>
      </w:r>
      <w:r w:rsidR="007F2BF9">
        <w:rPr>
          <w:rFonts w:hint="eastAsia"/>
        </w:rPr>
        <w:t>2017</w:t>
      </w:r>
      <w:r w:rsidR="007F2BF9">
        <w:rPr>
          <w:rFonts w:hint="eastAsia"/>
        </w:rPr>
        <w:t>年</w:t>
      </w:r>
      <w:r w:rsidR="007F2BF9">
        <w:rPr>
          <w:rFonts w:hint="eastAsia"/>
        </w:rPr>
        <w:t>4</w:t>
      </w:r>
      <w:r w:rsidR="007F2BF9">
        <w:rPr>
          <w:rFonts w:hint="eastAsia"/>
        </w:rPr>
        <w:t>季度达到</w:t>
      </w:r>
      <w:r w:rsidR="007F2BF9">
        <w:rPr>
          <w:rFonts w:hint="eastAsia"/>
        </w:rPr>
        <w:t>32.1</w:t>
      </w:r>
      <w:r w:rsidR="007F2BF9">
        <w:t>%</w:t>
      </w:r>
      <w:r w:rsidR="007F2BF9">
        <w:t>的阶段性高点，</w:t>
      </w:r>
      <w:r w:rsidR="007F2BF9">
        <w:rPr>
          <w:rFonts w:hint="eastAsia"/>
        </w:rPr>
        <w:t>2018</w:t>
      </w:r>
      <w:r w:rsidR="007F2BF9">
        <w:rPr>
          <w:rFonts w:hint="eastAsia"/>
        </w:rPr>
        <w:t>年</w:t>
      </w:r>
      <w:r w:rsidR="007F2BF9">
        <w:rPr>
          <w:rFonts w:hint="eastAsia"/>
        </w:rPr>
        <w:t>3</w:t>
      </w:r>
      <w:r w:rsidR="007F2BF9">
        <w:rPr>
          <w:rFonts w:hint="eastAsia"/>
        </w:rPr>
        <w:t>季度</w:t>
      </w:r>
      <w:r w:rsidR="007F2BF9">
        <w:t>仍然维持</w:t>
      </w:r>
      <w:r w:rsidR="007F2BF9">
        <w:rPr>
          <w:rFonts w:hint="eastAsia"/>
        </w:rPr>
        <w:t>23.6</w:t>
      </w:r>
      <w:r w:rsidR="007F2BF9">
        <w:t>%</w:t>
      </w:r>
      <w:r w:rsidR="007F2BF9">
        <w:t>的高增长率。由于</w:t>
      </w:r>
      <w:r w:rsidR="007F2BF9">
        <w:rPr>
          <w:rFonts w:hint="eastAsia"/>
        </w:rPr>
        <w:t>目前新兴行业</w:t>
      </w:r>
      <w:r w:rsidR="007F2BF9">
        <w:t>在整个国民经济中所占的</w:t>
      </w:r>
      <w:r w:rsidR="007F2BF9">
        <w:rPr>
          <w:rFonts w:hint="eastAsia"/>
        </w:rPr>
        <w:t>比重</w:t>
      </w:r>
      <w:r w:rsidR="007F2BF9">
        <w:t>较</w:t>
      </w:r>
      <w:r w:rsidR="007F2BF9">
        <w:rPr>
          <w:rFonts w:hint="eastAsia"/>
        </w:rPr>
        <w:t>低</w:t>
      </w:r>
      <w:r w:rsidR="007F2BF9">
        <w:t>，</w:t>
      </w:r>
      <w:r w:rsidR="007F2BF9">
        <w:rPr>
          <w:rFonts w:hint="eastAsia"/>
        </w:rPr>
        <w:t>单靠</w:t>
      </w:r>
      <w:r w:rsidR="007F2BF9">
        <w:t>该产业的增长无法实现稳定</w:t>
      </w:r>
      <w:r w:rsidR="00441F92">
        <w:rPr>
          <w:rFonts w:hint="eastAsia"/>
        </w:rPr>
        <w:t>总</w:t>
      </w:r>
      <w:r w:rsidR="007F2BF9">
        <w:t>需求的目</w:t>
      </w:r>
      <w:r w:rsidR="007F2BF9">
        <w:rPr>
          <w:rFonts w:hint="eastAsia"/>
        </w:rPr>
        <w:t>标</w:t>
      </w:r>
      <w:r w:rsidR="007F2BF9">
        <w:t>。</w:t>
      </w:r>
    </w:p>
    <w:p w14:paraId="2F948257" w14:textId="77777777" w:rsidR="00010846" w:rsidRDefault="00057C0D" w:rsidP="00AB6C2A">
      <w:pPr>
        <w:spacing w:line="360" w:lineRule="auto"/>
        <w:jc w:val="center"/>
      </w:pPr>
      <w:r>
        <w:rPr>
          <w:noProof/>
        </w:rPr>
        <w:drawing>
          <wp:inline distT="0" distB="0" distL="0" distR="0" wp14:anchorId="49E2BECC" wp14:editId="054A68F0">
            <wp:extent cx="4572000" cy="2743200"/>
            <wp:effectExtent l="0" t="0" r="0" b="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591B0B" w14:textId="4E66CE94" w:rsidR="00057C0D" w:rsidRDefault="00E7756B" w:rsidP="00AB6C2A">
      <w:pPr>
        <w:spacing w:line="360" w:lineRule="auto"/>
        <w:jc w:val="center"/>
      </w:pPr>
      <w:r>
        <w:rPr>
          <w:rFonts w:hint="eastAsia"/>
        </w:rPr>
        <w:t>图</w:t>
      </w:r>
      <w:r>
        <w:t>5</w:t>
      </w:r>
      <w:r>
        <w:rPr>
          <w:rFonts w:hint="eastAsia"/>
        </w:rPr>
        <w:tab/>
      </w:r>
      <w:r>
        <w:rPr>
          <w:rFonts w:hint="eastAsia"/>
        </w:rPr>
        <w:tab/>
      </w:r>
      <w:r>
        <w:rPr>
          <w:rFonts w:hint="eastAsia"/>
        </w:rPr>
        <w:t>代表性</w:t>
      </w:r>
      <w:r>
        <w:t>行业名义增长率</w:t>
      </w:r>
    </w:p>
    <w:p w14:paraId="590FF103" w14:textId="77777777" w:rsidR="00E7756B" w:rsidRPr="00E7756B" w:rsidRDefault="00E7756B" w:rsidP="00AB6C2A">
      <w:pPr>
        <w:spacing w:line="360" w:lineRule="auto"/>
        <w:jc w:val="center"/>
      </w:pPr>
    </w:p>
    <w:p w14:paraId="238A491E" w14:textId="55436AAD" w:rsidR="0048301C" w:rsidRDefault="000D2B01" w:rsidP="00AB6C2A">
      <w:pPr>
        <w:spacing w:line="360" w:lineRule="auto"/>
        <w:ind w:firstLine="420"/>
      </w:pPr>
      <w:r>
        <w:rPr>
          <w:rFonts w:hint="eastAsia"/>
        </w:rPr>
        <w:t>第二，</w:t>
      </w:r>
      <w:r>
        <w:rPr>
          <w:rFonts w:hint="eastAsia"/>
        </w:rPr>
        <w:t>11</w:t>
      </w:r>
      <w:r>
        <w:rPr>
          <w:rFonts w:hint="eastAsia"/>
        </w:rPr>
        <w:t>月</w:t>
      </w:r>
      <w:r w:rsidR="006F12D6">
        <w:rPr>
          <w:rFonts w:hint="eastAsia"/>
        </w:rPr>
        <w:t>消费品</w:t>
      </w:r>
      <w:r w:rsidR="006F12D6">
        <w:t>价格和工业品价格</w:t>
      </w:r>
      <w:r>
        <w:rPr>
          <w:rFonts w:hint="eastAsia"/>
        </w:rPr>
        <w:t>环比</w:t>
      </w:r>
      <w:r>
        <w:t>负增长，</w:t>
      </w:r>
      <w:r w:rsidR="00CA15E3">
        <w:rPr>
          <w:rFonts w:hint="eastAsia"/>
        </w:rPr>
        <w:t>显示</w:t>
      </w:r>
      <w:r w:rsidR="00CA15E3">
        <w:t>我国经济</w:t>
      </w:r>
      <w:r w:rsidR="00441F92">
        <w:rPr>
          <w:rFonts w:hint="eastAsia"/>
        </w:rPr>
        <w:t>面临</w:t>
      </w:r>
      <w:r w:rsidR="00441F92">
        <w:t>通缩</w:t>
      </w:r>
      <w:r w:rsidR="00441F92">
        <w:rPr>
          <w:rFonts w:hint="eastAsia"/>
        </w:rPr>
        <w:t>压力</w:t>
      </w:r>
      <w:r w:rsidR="00884FF6">
        <w:rPr>
          <w:rFonts w:hint="eastAsia"/>
        </w:rPr>
        <w:t>。</w:t>
      </w:r>
      <w:r w:rsidR="00884FF6" w:rsidRPr="00884FF6">
        <w:t>2018</w:t>
      </w:r>
      <w:r w:rsidR="00884FF6" w:rsidRPr="00884FF6">
        <w:rPr>
          <w:rFonts w:hint="eastAsia"/>
        </w:rPr>
        <w:t>年</w:t>
      </w:r>
      <w:r w:rsidR="00884FF6" w:rsidRPr="00884FF6">
        <w:t>11</w:t>
      </w:r>
      <w:r w:rsidR="00884FF6" w:rsidRPr="00884FF6">
        <w:rPr>
          <w:rFonts w:hint="eastAsia"/>
        </w:rPr>
        <w:t>月份，全国居民消费价格同比上涨</w:t>
      </w:r>
      <w:r w:rsidR="00884FF6" w:rsidRPr="00884FF6">
        <w:t>2.2%</w:t>
      </w:r>
      <w:r w:rsidR="00884FF6" w:rsidRPr="00884FF6">
        <w:rPr>
          <w:rFonts w:hint="eastAsia"/>
        </w:rPr>
        <w:t>，食品价格上涨</w:t>
      </w:r>
      <w:r w:rsidR="00884FF6" w:rsidRPr="00884FF6">
        <w:t>2.5%</w:t>
      </w:r>
      <w:r w:rsidR="00884FF6" w:rsidRPr="00884FF6">
        <w:rPr>
          <w:rFonts w:hint="eastAsia"/>
        </w:rPr>
        <w:t>，非食品价格上涨</w:t>
      </w:r>
      <w:r w:rsidR="00884FF6" w:rsidRPr="00884FF6">
        <w:t>2.1%</w:t>
      </w:r>
      <w:r w:rsidR="00884FF6" w:rsidRPr="00884FF6">
        <w:rPr>
          <w:rFonts w:hint="eastAsia"/>
        </w:rPr>
        <w:t>；消费品价格上涨</w:t>
      </w:r>
      <w:r w:rsidR="00884FF6" w:rsidRPr="00884FF6">
        <w:t>2.2%</w:t>
      </w:r>
      <w:r w:rsidR="00884FF6" w:rsidRPr="00884FF6">
        <w:rPr>
          <w:rFonts w:hint="eastAsia"/>
        </w:rPr>
        <w:t>，服务价格上涨</w:t>
      </w:r>
      <w:r w:rsidR="00884FF6" w:rsidRPr="00884FF6">
        <w:t>2.1%</w:t>
      </w:r>
      <w:r w:rsidR="00884FF6" w:rsidRPr="00884FF6">
        <w:rPr>
          <w:rFonts w:hint="eastAsia"/>
        </w:rPr>
        <w:t>。</w:t>
      </w:r>
      <w:r w:rsidR="00884FF6" w:rsidRPr="00884FF6">
        <w:t>2018</w:t>
      </w:r>
      <w:r w:rsidR="00884FF6" w:rsidRPr="00884FF6">
        <w:rPr>
          <w:rFonts w:hint="eastAsia"/>
        </w:rPr>
        <w:t>年</w:t>
      </w:r>
      <w:r w:rsidR="00884FF6" w:rsidRPr="00884FF6">
        <w:t>11</w:t>
      </w:r>
      <w:r w:rsidR="00884FF6" w:rsidRPr="00884FF6">
        <w:rPr>
          <w:rFonts w:hint="eastAsia"/>
        </w:rPr>
        <w:t>月份，全国工业生产者出厂价格同比上涨</w:t>
      </w:r>
      <w:r w:rsidR="00884FF6" w:rsidRPr="00884FF6">
        <w:t>2.7%</w:t>
      </w:r>
      <w:r w:rsidR="00884FF6" w:rsidRPr="00884FF6">
        <w:rPr>
          <w:rFonts w:hint="eastAsia"/>
        </w:rPr>
        <w:t>，工业生产者购进价格同比上涨</w:t>
      </w:r>
      <w:r w:rsidR="00884FF6" w:rsidRPr="00884FF6">
        <w:t>3.3%</w:t>
      </w:r>
      <w:r w:rsidR="00884FF6" w:rsidRPr="00884FF6">
        <w:rPr>
          <w:rFonts w:hint="eastAsia"/>
        </w:rPr>
        <w:t>。</w:t>
      </w:r>
    </w:p>
    <w:p w14:paraId="17072342" w14:textId="16604398" w:rsidR="000D4C13" w:rsidRDefault="0048301C" w:rsidP="00AB6C2A">
      <w:pPr>
        <w:spacing w:line="360" w:lineRule="auto"/>
        <w:ind w:firstLine="420"/>
      </w:pPr>
      <w:r>
        <w:rPr>
          <w:rFonts w:hint="eastAsia"/>
        </w:rPr>
        <w:lastRenderedPageBreak/>
        <w:t>然而</w:t>
      </w:r>
      <w:r>
        <w:t>在</w:t>
      </w:r>
      <w:r>
        <w:rPr>
          <w:rFonts w:hint="eastAsia"/>
        </w:rPr>
        <w:t>价格</w:t>
      </w:r>
      <w:r>
        <w:t>同比增长</w:t>
      </w:r>
      <w:r>
        <w:rPr>
          <w:rFonts w:hint="eastAsia"/>
        </w:rPr>
        <w:t>的</w:t>
      </w:r>
      <w:r>
        <w:t>背后隐藏的是消费者价格指数和生产者价格指数环比的大范围</w:t>
      </w:r>
      <w:r w:rsidR="00AD10E8">
        <w:rPr>
          <w:rFonts w:hint="eastAsia"/>
        </w:rPr>
        <w:t>由正转负</w:t>
      </w:r>
      <w:r>
        <w:t>。</w:t>
      </w:r>
      <w:r w:rsidR="000D4C13" w:rsidRPr="000D4C13">
        <w:t>11</w:t>
      </w:r>
      <w:r w:rsidR="000D4C13" w:rsidRPr="000D4C13">
        <w:rPr>
          <w:rFonts w:hint="eastAsia"/>
        </w:rPr>
        <w:t>月份全国居民消费价格环比下降</w:t>
      </w:r>
      <w:r w:rsidR="000D4C13" w:rsidRPr="000D4C13">
        <w:t>0.3%</w:t>
      </w:r>
      <w:r w:rsidR="000D4C13" w:rsidRPr="000D4C13">
        <w:rPr>
          <w:rFonts w:hint="eastAsia"/>
        </w:rPr>
        <w:t>；食品价格下降</w:t>
      </w:r>
      <w:r w:rsidR="000D4C13" w:rsidRPr="000D4C13">
        <w:t>1.2%</w:t>
      </w:r>
      <w:r w:rsidR="000D4C13" w:rsidRPr="000D4C13">
        <w:rPr>
          <w:rFonts w:hint="eastAsia"/>
        </w:rPr>
        <w:t>，非食品价格下降</w:t>
      </w:r>
      <w:r w:rsidR="000D4C13" w:rsidRPr="000D4C13">
        <w:t>0.1%</w:t>
      </w:r>
      <w:r w:rsidR="000D4C13" w:rsidRPr="000D4C13">
        <w:rPr>
          <w:rFonts w:hint="eastAsia"/>
        </w:rPr>
        <w:t>；消费品价格下降</w:t>
      </w:r>
      <w:r w:rsidR="000D4C13" w:rsidRPr="000D4C13">
        <w:t>0.5%</w:t>
      </w:r>
      <w:r w:rsidR="000D4C13" w:rsidRPr="000D4C13">
        <w:rPr>
          <w:rFonts w:hint="eastAsia"/>
        </w:rPr>
        <w:t>，服务价格下降</w:t>
      </w:r>
      <w:r w:rsidR="000D4C13" w:rsidRPr="000D4C13">
        <w:t>0.2%</w:t>
      </w:r>
      <w:r w:rsidR="000D4C13" w:rsidRPr="000D4C13">
        <w:rPr>
          <w:rFonts w:hint="eastAsia"/>
        </w:rPr>
        <w:t>。</w:t>
      </w:r>
      <w:r w:rsidRPr="000D4C13">
        <w:rPr>
          <w:rFonts w:hint="eastAsia"/>
        </w:rPr>
        <w:t>工业生产者出厂价格中，生产资料价格环比下降</w:t>
      </w:r>
      <w:r w:rsidRPr="000D4C13">
        <w:t>0.3%</w:t>
      </w:r>
      <w:r w:rsidRPr="000D4C13">
        <w:rPr>
          <w:rFonts w:hint="eastAsia"/>
        </w:rPr>
        <w:t>，其中采掘工业价格下降</w:t>
      </w:r>
      <w:r w:rsidRPr="000D4C13">
        <w:t>1.3%</w:t>
      </w:r>
      <w:r w:rsidRPr="000D4C13">
        <w:rPr>
          <w:rFonts w:hint="eastAsia"/>
        </w:rPr>
        <w:t>，原材料工业价格下降</w:t>
      </w:r>
      <w:r w:rsidRPr="000D4C13">
        <w:t>1.1%</w:t>
      </w:r>
      <w:r w:rsidRPr="000D4C13">
        <w:rPr>
          <w:rFonts w:hint="eastAsia"/>
        </w:rPr>
        <w:t>，加工工业价格持平。生活资料价格环比上涨。</w:t>
      </w:r>
      <w:r w:rsidR="000D4C13">
        <w:rPr>
          <w:rFonts w:hint="eastAsia"/>
        </w:rPr>
        <w:t>相比</w:t>
      </w:r>
      <w:r w:rsidR="000D4C13">
        <w:t>价格指数上涨，价格指数出现环比下降更值得关注。</w:t>
      </w:r>
      <w:r w:rsidR="000D4C13">
        <w:rPr>
          <w:rFonts w:hint="eastAsia"/>
        </w:rPr>
        <w:t>一旦经济进入</w:t>
      </w:r>
      <w:r w:rsidR="000D4C13">
        <w:t>深度下滑，</w:t>
      </w:r>
      <w:r w:rsidR="000D4C13">
        <w:rPr>
          <w:rFonts w:hint="eastAsia"/>
        </w:rPr>
        <w:t>持续时间</w:t>
      </w:r>
      <w:r w:rsidR="000D4C13">
        <w:t>和复苏难度通常</w:t>
      </w:r>
      <w:r w:rsidR="000D4C13">
        <w:rPr>
          <w:rFonts w:hint="eastAsia"/>
        </w:rPr>
        <w:t>都会</w:t>
      </w:r>
      <w:r w:rsidR="000D4C13">
        <w:t>增加，而且总需求</w:t>
      </w:r>
      <w:r w:rsidR="000D4C13">
        <w:rPr>
          <w:rFonts w:hint="eastAsia"/>
        </w:rPr>
        <w:t>政策</w:t>
      </w:r>
      <w:r w:rsidR="000D4C13">
        <w:t>在应对经济下滑时的有效性较低。</w:t>
      </w:r>
    </w:p>
    <w:p w14:paraId="26C3A1A2" w14:textId="277DE1F1" w:rsidR="000D4C13" w:rsidRDefault="000D4C13" w:rsidP="00AB6C2A">
      <w:pPr>
        <w:spacing w:line="360" w:lineRule="auto"/>
        <w:ind w:firstLine="420"/>
      </w:pPr>
      <w:r>
        <w:rPr>
          <w:noProof/>
        </w:rPr>
        <w:drawing>
          <wp:inline distT="0" distB="0" distL="0" distR="0" wp14:anchorId="2351AF99" wp14:editId="09A3DD41">
            <wp:extent cx="4572000" cy="27432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BD6DF4B" w14:textId="539DD37C" w:rsidR="006F12D6" w:rsidRDefault="00E7756B" w:rsidP="00AB6C2A">
      <w:pPr>
        <w:spacing w:line="360" w:lineRule="auto"/>
        <w:jc w:val="center"/>
      </w:pPr>
      <w:r>
        <w:rPr>
          <w:rFonts w:hint="eastAsia"/>
        </w:rPr>
        <w:t>图</w:t>
      </w:r>
      <w:r>
        <w:rPr>
          <w:rFonts w:hint="eastAsia"/>
        </w:rPr>
        <w:t>6</w:t>
      </w:r>
      <w:r>
        <w:tab/>
      </w:r>
      <w:r w:rsidR="00AD10E8">
        <w:rPr>
          <w:rFonts w:hint="eastAsia"/>
        </w:rPr>
        <w:t>价格指数</w:t>
      </w:r>
      <w:r w:rsidR="00AD10E8">
        <w:t>环比增长率（</w:t>
      </w:r>
      <w:r w:rsidR="00AD10E8">
        <w:rPr>
          <w:rFonts w:hint="eastAsia"/>
        </w:rPr>
        <w:t>%</w:t>
      </w:r>
      <w:r w:rsidR="00AD10E8">
        <w:t>）</w:t>
      </w:r>
    </w:p>
    <w:p w14:paraId="760B7BCF" w14:textId="77777777" w:rsidR="00E7756B" w:rsidRPr="006F12D6" w:rsidRDefault="00E7756B" w:rsidP="00AB6C2A">
      <w:pPr>
        <w:spacing w:line="360" w:lineRule="auto"/>
        <w:jc w:val="center"/>
      </w:pPr>
    </w:p>
    <w:p w14:paraId="71583051" w14:textId="4D75414B" w:rsidR="00214E9D" w:rsidRDefault="00FB50D7" w:rsidP="00AB6C2A">
      <w:pPr>
        <w:spacing w:line="360" w:lineRule="auto"/>
        <w:ind w:firstLine="420"/>
      </w:pPr>
      <w:r>
        <w:rPr>
          <w:rFonts w:hint="eastAsia"/>
        </w:rPr>
        <w:t>第三</w:t>
      </w:r>
      <w:r w:rsidR="00CA15E3">
        <w:rPr>
          <w:rFonts w:hint="eastAsia"/>
        </w:rPr>
        <w:t>，从</w:t>
      </w:r>
      <w:r w:rsidR="00214E9D">
        <w:t>消费需求和</w:t>
      </w:r>
      <w:r w:rsidR="00214E9D">
        <w:rPr>
          <w:rFonts w:hint="eastAsia"/>
        </w:rPr>
        <w:t>投资需求</w:t>
      </w:r>
      <w:r w:rsidR="00214E9D">
        <w:t>看，</w:t>
      </w:r>
      <w:r w:rsidR="00085B36">
        <w:rPr>
          <w:rFonts w:hint="eastAsia"/>
        </w:rPr>
        <w:t>消费</w:t>
      </w:r>
      <w:r w:rsidR="00085B36">
        <w:t>需求</w:t>
      </w:r>
      <w:r w:rsidR="00214E9D">
        <w:t>延续疲弱趋势</w:t>
      </w:r>
      <w:r w:rsidR="00085B36">
        <w:rPr>
          <w:rFonts w:hint="eastAsia"/>
        </w:rPr>
        <w:t>；投资需求</w:t>
      </w:r>
      <w:r w:rsidR="00085B36">
        <w:t>温和</w:t>
      </w:r>
      <w:r w:rsidR="00085B36">
        <w:rPr>
          <w:rFonts w:hint="eastAsia"/>
        </w:rPr>
        <w:t>增长</w:t>
      </w:r>
      <w:r w:rsidR="00085B36">
        <w:t>，并且</w:t>
      </w:r>
      <w:r w:rsidR="00085B36">
        <w:rPr>
          <w:rFonts w:hint="eastAsia"/>
        </w:rPr>
        <w:t>呈现</w:t>
      </w:r>
      <w:r w:rsidR="00085B36">
        <w:t>结构改善</w:t>
      </w:r>
      <w:r w:rsidR="00214E9D">
        <w:t>。</w:t>
      </w:r>
    </w:p>
    <w:p w14:paraId="5EFE0C84" w14:textId="683616EE" w:rsidR="00085B36" w:rsidRDefault="00D85265" w:rsidP="00AB6C2A">
      <w:pPr>
        <w:spacing w:line="360" w:lineRule="auto"/>
        <w:ind w:firstLine="420"/>
      </w:pPr>
      <w:r w:rsidRPr="00D85265">
        <w:rPr>
          <w:rFonts w:hint="eastAsia"/>
        </w:rPr>
        <w:t>社会消费品零售总额</w:t>
      </w:r>
      <w:r>
        <w:rPr>
          <w:rFonts w:hint="eastAsia"/>
        </w:rPr>
        <w:t>增速</w:t>
      </w:r>
      <w:r>
        <w:t>进一步放缓。</w:t>
      </w:r>
      <w:r w:rsidRPr="00D85265">
        <w:t>2018</w:t>
      </w:r>
      <w:r w:rsidRPr="00D85265">
        <w:rPr>
          <w:rFonts w:hint="eastAsia"/>
        </w:rPr>
        <w:t>年</w:t>
      </w:r>
      <w:r w:rsidRPr="00D85265">
        <w:t>11</w:t>
      </w:r>
      <w:r w:rsidRPr="00D85265">
        <w:rPr>
          <w:rFonts w:hint="eastAsia"/>
        </w:rPr>
        <w:t>月份，社会消费品零售总额同比名义增长</w:t>
      </w:r>
      <w:r w:rsidRPr="00D85265">
        <w:t>8.1%</w:t>
      </w:r>
      <w:r w:rsidRPr="00D85265">
        <w:rPr>
          <w:rFonts w:hint="eastAsia"/>
        </w:rPr>
        <w:t>（扣除价格因素实际增长</w:t>
      </w:r>
      <w:r w:rsidRPr="00D85265">
        <w:t>5.8%</w:t>
      </w:r>
      <w:r w:rsidRPr="00D85265">
        <w:rPr>
          <w:rFonts w:hint="eastAsia"/>
        </w:rPr>
        <w:t>）</w:t>
      </w:r>
      <w:r w:rsidR="00702368">
        <w:rPr>
          <w:rFonts w:hint="eastAsia"/>
        </w:rPr>
        <w:t>，</w:t>
      </w:r>
      <w:r w:rsidRPr="00D85265">
        <w:rPr>
          <w:rFonts w:hint="eastAsia"/>
        </w:rPr>
        <w:t>限额以上单位消费品零售额增长</w:t>
      </w:r>
      <w:r w:rsidRPr="00D85265">
        <w:t>2.1%</w:t>
      </w:r>
      <w:r w:rsidRPr="00D85265">
        <w:rPr>
          <w:rFonts w:hint="eastAsia"/>
        </w:rPr>
        <w:t>。从累计</w:t>
      </w:r>
      <w:r w:rsidRPr="00D85265">
        <w:t>增速看，</w:t>
      </w:r>
      <w:r w:rsidRPr="00D85265">
        <w:t>2018</w:t>
      </w:r>
      <w:r w:rsidRPr="00D85265">
        <w:rPr>
          <w:rFonts w:hint="eastAsia"/>
        </w:rPr>
        <w:t>年前</w:t>
      </w:r>
      <w:r w:rsidRPr="00D85265">
        <w:rPr>
          <w:rFonts w:hint="eastAsia"/>
        </w:rPr>
        <w:t>11</w:t>
      </w:r>
      <w:r w:rsidRPr="00D85265">
        <w:rPr>
          <w:rFonts w:hint="eastAsia"/>
        </w:rPr>
        <w:t>个月社会消费品零售总额同比增长</w:t>
      </w:r>
      <w:r w:rsidRPr="00D85265">
        <w:t>9.1%</w:t>
      </w:r>
      <w:r w:rsidRPr="00D85265">
        <w:rPr>
          <w:rFonts w:hint="eastAsia"/>
        </w:rPr>
        <w:t>，</w:t>
      </w:r>
      <w:r w:rsidR="00702368" w:rsidRPr="00D85265">
        <w:rPr>
          <w:rFonts w:hint="eastAsia"/>
        </w:rPr>
        <w:t>限额以上单位消费品零售额</w:t>
      </w:r>
      <w:r w:rsidRPr="00D85265">
        <w:rPr>
          <w:rFonts w:hint="eastAsia"/>
        </w:rPr>
        <w:t>增长</w:t>
      </w:r>
      <w:r w:rsidRPr="00D85265">
        <w:t>6.1%</w:t>
      </w:r>
      <w:r w:rsidRPr="00D85265">
        <w:rPr>
          <w:rFonts w:hint="eastAsia"/>
        </w:rPr>
        <w:t>。</w:t>
      </w:r>
    </w:p>
    <w:p w14:paraId="5B0F6D53" w14:textId="1C142359" w:rsidR="00D85265" w:rsidRPr="00D85265" w:rsidRDefault="00085B36" w:rsidP="00AB6C2A">
      <w:pPr>
        <w:spacing w:line="360" w:lineRule="auto"/>
        <w:ind w:firstLine="420"/>
      </w:pPr>
      <w:r>
        <w:rPr>
          <w:rFonts w:hint="eastAsia"/>
        </w:rPr>
        <w:t>造成</w:t>
      </w:r>
      <w:r>
        <w:t>消费品零售总额下降的原因概括</w:t>
      </w:r>
      <w:r>
        <w:rPr>
          <w:rFonts w:hint="eastAsia"/>
        </w:rPr>
        <w:t>起来</w:t>
      </w:r>
      <w:r>
        <w:t>主要包括两个方面：一是</w:t>
      </w:r>
      <w:r>
        <w:rPr>
          <w:rFonts w:hint="eastAsia"/>
        </w:rPr>
        <w:t>收入</w:t>
      </w:r>
      <w:r>
        <w:t>增速下降</w:t>
      </w:r>
      <w:r>
        <w:rPr>
          <w:rFonts w:hint="eastAsia"/>
        </w:rPr>
        <w:t>造成</w:t>
      </w:r>
      <w:r>
        <w:t>消费需求下滑；二是居民部门高杠杆率造成的</w:t>
      </w:r>
      <w:r w:rsidR="00702368">
        <w:rPr>
          <w:rFonts w:hint="eastAsia"/>
        </w:rPr>
        <w:t>财富</w:t>
      </w:r>
      <w:r w:rsidR="00702368">
        <w:t>挤占效应。因</w:t>
      </w:r>
      <w:r w:rsidR="00702368">
        <w:rPr>
          <w:rFonts w:hint="eastAsia"/>
        </w:rPr>
        <w:t>为家庭</w:t>
      </w:r>
      <w:r w:rsidR="00702368">
        <w:t>部门的债务通常是长期债务，</w:t>
      </w:r>
      <w:r w:rsidR="00702368">
        <w:rPr>
          <w:rFonts w:hint="eastAsia"/>
        </w:rPr>
        <w:t>所以</w:t>
      </w:r>
      <w:r w:rsidR="00702368">
        <w:t>在短期内降低家庭部门的杠杆率难度较大</w:t>
      </w:r>
      <w:r w:rsidR="00702368">
        <w:rPr>
          <w:rFonts w:hint="eastAsia"/>
        </w:rPr>
        <w:t>。</w:t>
      </w:r>
      <w:r w:rsidR="00702368">
        <w:t>无论是</w:t>
      </w:r>
      <w:r w:rsidR="00702368">
        <w:rPr>
          <w:rFonts w:hint="eastAsia"/>
        </w:rPr>
        <w:t>从</w:t>
      </w:r>
      <w:r w:rsidR="00702368">
        <w:t>维持家庭部门杠杆率的角度看，还是从</w:t>
      </w:r>
      <w:r w:rsidR="00702368">
        <w:rPr>
          <w:rFonts w:hint="eastAsia"/>
        </w:rPr>
        <w:t>稳定</w:t>
      </w:r>
      <w:r w:rsidR="00702368">
        <w:t>消费</w:t>
      </w:r>
      <w:r w:rsidR="00702368">
        <w:rPr>
          <w:rFonts w:hint="eastAsia"/>
        </w:rPr>
        <w:t>增长</w:t>
      </w:r>
      <w:r w:rsidR="00702368">
        <w:t>的角度看，关键还在于稳定经济增长和就业，</w:t>
      </w:r>
      <w:r w:rsidR="00702368">
        <w:rPr>
          <w:rFonts w:hint="eastAsia"/>
        </w:rPr>
        <w:t>保持</w:t>
      </w:r>
      <w:r w:rsidR="00702368">
        <w:t>居民可支配收入实现稳定增长。</w:t>
      </w:r>
    </w:p>
    <w:p w14:paraId="1E9D9F87" w14:textId="7FF4F84E" w:rsidR="00702368" w:rsidRDefault="00702368" w:rsidP="00AB6C2A">
      <w:pPr>
        <w:spacing w:line="360" w:lineRule="auto"/>
        <w:jc w:val="center"/>
      </w:pPr>
      <w:r>
        <w:rPr>
          <w:rFonts w:hint="eastAsia"/>
          <w:noProof/>
        </w:rPr>
        <w:lastRenderedPageBreak/>
        <w:drawing>
          <wp:inline distT="0" distB="0" distL="0" distR="0" wp14:anchorId="53CA978D" wp14:editId="422B8F39">
            <wp:extent cx="5192395" cy="2989580"/>
            <wp:effectExtent l="0" t="0" r="8255"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2395" cy="2989580"/>
                    </a:xfrm>
                    <a:prstGeom prst="rect">
                      <a:avLst/>
                    </a:prstGeom>
                    <a:noFill/>
                    <a:ln>
                      <a:noFill/>
                    </a:ln>
                  </pic:spPr>
                </pic:pic>
              </a:graphicData>
            </a:graphic>
          </wp:inline>
        </w:drawing>
      </w:r>
      <w:r>
        <w:rPr>
          <w:rFonts w:hint="eastAsia"/>
        </w:rPr>
        <w:t>图</w:t>
      </w:r>
      <w:r>
        <w:rPr>
          <w:rFonts w:hint="eastAsia"/>
        </w:rPr>
        <w:t>7</w:t>
      </w:r>
      <w:r>
        <w:tab/>
      </w:r>
      <w:r>
        <w:tab/>
      </w:r>
      <w:r>
        <w:rPr>
          <w:rFonts w:hint="eastAsia"/>
        </w:rPr>
        <w:t>消费品</w:t>
      </w:r>
      <w:r>
        <w:t>零售总额同比增速</w:t>
      </w:r>
    </w:p>
    <w:p w14:paraId="7E1A8512" w14:textId="77777777" w:rsidR="00CA15E3" w:rsidRDefault="00CA15E3" w:rsidP="00AB6C2A">
      <w:pPr>
        <w:spacing w:line="360" w:lineRule="auto"/>
        <w:jc w:val="center"/>
      </w:pPr>
    </w:p>
    <w:p w14:paraId="080704A1" w14:textId="35E9EA10" w:rsidR="00214E9D" w:rsidRPr="00085B36" w:rsidRDefault="00214E9D" w:rsidP="00AB6C2A">
      <w:pPr>
        <w:spacing w:line="360" w:lineRule="auto"/>
        <w:ind w:firstLine="420"/>
      </w:pPr>
      <w:r>
        <w:rPr>
          <w:rFonts w:ascii="Times New Roman" w:hAnsi="Times New Roman" w:cs="Times New Roman" w:hint="eastAsia"/>
          <w:color w:val="333333"/>
        </w:rPr>
        <w:t>投资方面</w:t>
      </w:r>
      <w:r>
        <w:rPr>
          <w:rFonts w:ascii="Times New Roman" w:hAnsi="Times New Roman" w:cs="Times New Roman"/>
          <w:color w:val="333333"/>
        </w:rPr>
        <w:t>，</w:t>
      </w:r>
      <w:r>
        <w:rPr>
          <w:rFonts w:ascii="Times New Roman" w:hAnsi="Times New Roman" w:cs="Times New Roman"/>
          <w:color w:val="333333"/>
        </w:rPr>
        <w:t>2018</w:t>
      </w:r>
      <w:r>
        <w:rPr>
          <w:rFonts w:hint="eastAsia"/>
          <w:color w:val="333333"/>
        </w:rPr>
        <w:t>年前</w:t>
      </w:r>
      <w:r>
        <w:rPr>
          <w:rFonts w:hint="eastAsia"/>
          <w:color w:val="333333"/>
        </w:rPr>
        <w:t>11</w:t>
      </w:r>
      <w:r>
        <w:rPr>
          <w:rFonts w:hint="eastAsia"/>
          <w:color w:val="333333"/>
        </w:rPr>
        <w:t>个月全国固定资产投资同比增长</w:t>
      </w:r>
      <w:r>
        <w:rPr>
          <w:rFonts w:ascii="Times New Roman" w:hAnsi="Times New Roman" w:cs="Times New Roman"/>
          <w:color w:val="333333"/>
        </w:rPr>
        <w:t>5.9%</w:t>
      </w:r>
      <w:r>
        <w:rPr>
          <w:rFonts w:hint="eastAsia"/>
          <w:color w:val="333333"/>
        </w:rPr>
        <w:t>，增速比</w:t>
      </w:r>
      <w:r>
        <w:rPr>
          <w:rFonts w:ascii="Times New Roman" w:hAnsi="Times New Roman" w:cs="Times New Roman"/>
          <w:color w:val="333333"/>
        </w:rPr>
        <w:t>1-10</w:t>
      </w:r>
      <w:r>
        <w:rPr>
          <w:rFonts w:hint="eastAsia"/>
          <w:color w:val="333333"/>
        </w:rPr>
        <w:t>月份回升</w:t>
      </w:r>
      <w:r>
        <w:rPr>
          <w:rFonts w:ascii="Times New Roman" w:hAnsi="Times New Roman" w:cs="Times New Roman"/>
          <w:color w:val="333333"/>
        </w:rPr>
        <w:t>0.2</w:t>
      </w:r>
      <w:r>
        <w:rPr>
          <w:rFonts w:hint="eastAsia"/>
          <w:color w:val="333333"/>
        </w:rPr>
        <w:t>个百分点。从环比速度看，</w:t>
      </w:r>
      <w:r>
        <w:rPr>
          <w:rFonts w:ascii="Times New Roman" w:hAnsi="Times New Roman" w:cs="Times New Roman"/>
          <w:color w:val="333333"/>
        </w:rPr>
        <w:t>11</w:t>
      </w:r>
      <w:r>
        <w:rPr>
          <w:rFonts w:hint="eastAsia"/>
          <w:color w:val="333333"/>
        </w:rPr>
        <w:t>月份固定资产投资增长</w:t>
      </w:r>
      <w:r>
        <w:rPr>
          <w:rFonts w:ascii="Times New Roman" w:hAnsi="Times New Roman" w:cs="Times New Roman"/>
          <w:color w:val="333333"/>
        </w:rPr>
        <w:t>0.46%</w:t>
      </w:r>
      <w:r w:rsidR="00CA15E3">
        <w:rPr>
          <w:rFonts w:hint="eastAsia"/>
          <w:color w:val="333333"/>
        </w:rPr>
        <w:t>，</w:t>
      </w:r>
      <w:r>
        <w:rPr>
          <w:rFonts w:hint="eastAsia"/>
          <w:color w:val="333333"/>
        </w:rPr>
        <w:t>其中</w:t>
      </w:r>
      <w:r w:rsidR="00702368">
        <w:rPr>
          <w:rFonts w:hint="eastAsia"/>
          <w:color w:val="333333"/>
        </w:rPr>
        <w:t>国有控股</w:t>
      </w:r>
      <w:r w:rsidR="00702368">
        <w:rPr>
          <w:color w:val="333333"/>
        </w:rPr>
        <w:t>企业固定资产投资增速为</w:t>
      </w:r>
      <w:r w:rsidR="00702368">
        <w:rPr>
          <w:rFonts w:hint="eastAsia"/>
          <w:color w:val="333333"/>
        </w:rPr>
        <w:t>2.3</w:t>
      </w:r>
      <w:r w:rsidR="00702368">
        <w:rPr>
          <w:color w:val="333333"/>
        </w:rPr>
        <w:t>%</w:t>
      </w:r>
      <w:r w:rsidR="00702368">
        <w:rPr>
          <w:rFonts w:hint="eastAsia"/>
          <w:color w:val="333333"/>
        </w:rPr>
        <w:t>，</w:t>
      </w:r>
      <w:r>
        <w:rPr>
          <w:rFonts w:hint="eastAsia"/>
          <w:color w:val="333333"/>
        </w:rPr>
        <w:t>民间固定资产投资同比增长</w:t>
      </w:r>
      <w:r>
        <w:rPr>
          <w:rFonts w:ascii="Times New Roman" w:hAnsi="Times New Roman" w:cs="Times New Roman"/>
          <w:color w:val="333333"/>
        </w:rPr>
        <w:t>8.7%</w:t>
      </w:r>
      <w:r>
        <w:rPr>
          <w:rFonts w:hint="eastAsia"/>
          <w:color w:val="333333"/>
        </w:rPr>
        <w:t>。</w:t>
      </w:r>
      <w:r w:rsidR="00085B36">
        <w:rPr>
          <w:rFonts w:hint="eastAsia"/>
          <w:color w:val="333333"/>
        </w:rPr>
        <w:t>民间</w:t>
      </w:r>
      <w:r w:rsidR="00085B36">
        <w:rPr>
          <w:color w:val="333333"/>
        </w:rPr>
        <w:t>投资增速</w:t>
      </w:r>
      <w:r w:rsidR="00702368">
        <w:rPr>
          <w:rFonts w:hint="eastAsia"/>
          <w:color w:val="333333"/>
        </w:rPr>
        <w:t>大大</w:t>
      </w:r>
      <w:r w:rsidR="00702368">
        <w:rPr>
          <w:color w:val="333333"/>
        </w:rPr>
        <w:t>快于</w:t>
      </w:r>
      <w:r w:rsidR="00702368">
        <w:rPr>
          <w:rFonts w:hint="eastAsia"/>
          <w:color w:val="333333"/>
        </w:rPr>
        <w:t>国有</w:t>
      </w:r>
      <w:r w:rsidR="00702368">
        <w:rPr>
          <w:color w:val="333333"/>
        </w:rPr>
        <w:t>控股企业</w:t>
      </w:r>
      <w:r w:rsidR="00085B36">
        <w:rPr>
          <w:color w:val="333333"/>
        </w:rPr>
        <w:t>。</w:t>
      </w:r>
      <w:r w:rsidR="00702368">
        <w:rPr>
          <w:rFonts w:hint="eastAsia"/>
          <w:color w:val="333333"/>
        </w:rPr>
        <w:t>在</w:t>
      </w:r>
      <w:r w:rsidR="00085B36" w:rsidRPr="00085B36">
        <w:rPr>
          <w:rFonts w:ascii="Times New Roman" w:hAnsi="Times New Roman" w:cs="Times New Roman" w:hint="eastAsia"/>
          <w:color w:val="333333"/>
        </w:rPr>
        <w:t>第二产业中，工业投资</w:t>
      </w:r>
      <w:r w:rsidR="00702368" w:rsidRPr="00702368">
        <w:rPr>
          <w:rFonts w:ascii="Times New Roman" w:hAnsi="Times New Roman" w:cs="Times New Roman" w:hint="eastAsia"/>
          <w:color w:val="333333"/>
        </w:rPr>
        <w:t>前</w:t>
      </w:r>
      <w:r w:rsidR="00702368" w:rsidRPr="00702368">
        <w:rPr>
          <w:rFonts w:ascii="Times New Roman" w:hAnsi="Times New Roman" w:cs="Times New Roman" w:hint="eastAsia"/>
          <w:color w:val="333333"/>
        </w:rPr>
        <w:t>11</w:t>
      </w:r>
      <w:r w:rsidR="00702368" w:rsidRPr="00702368">
        <w:rPr>
          <w:rFonts w:ascii="Times New Roman" w:hAnsi="Times New Roman" w:cs="Times New Roman" w:hint="eastAsia"/>
          <w:color w:val="333333"/>
        </w:rPr>
        <w:t>个月</w:t>
      </w:r>
      <w:r w:rsidR="00085B36" w:rsidRPr="00085B36">
        <w:rPr>
          <w:rFonts w:ascii="Times New Roman" w:hAnsi="Times New Roman" w:cs="Times New Roman" w:hint="eastAsia"/>
          <w:color w:val="333333"/>
        </w:rPr>
        <w:t>同比增长</w:t>
      </w:r>
      <w:r w:rsidR="00085B36" w:rsidRPr="00085B36">
        <w:rPr>
          <w:rFonts w:ascii="Times New Roman" w:hAnsi="Times New Roman" w:cs="Times New Roman"/>
          <w:color w:val="333333"/>
        </w:rPr>
        <w:t>6.4%</w:t>
      </w:r>
      <w:r w:rsidR="00085B36" w:rsidRPr="00085B36">
        <w:rPr>
          <w:rFonts w:ascii="Times New Roman" w:hAnsi="Times New Roman" w:cs="Times New Roman" w:hint="eastAsia"/>
          <w:color w:val="333333"/>
        </w:rPr>
        <w:t>，增速比</w:t>
      </w:r>
      <w:r w:rsidR="00085B36" w:rsidRPr="00085B36">
        <w:rPr>
          <w:rFonts w:ascii="Times New Roman" w:hAnsi="Times New Roman" w:cs="Times New Roman"/>
          <w:color w:val="333333"/>
        </w:rPr>
        <w:t>1-10</w:t>
      </w:r>
      <w:r w:rsidR="00085B36" w:rsidRPr="00085B36">
        <w:rPr>
          <w:rFonts w:ascii="Times New Roman" w:hAnsi="Times New Roman" w:cs="Times New Roman" w:hint="eastAsia"/>
          <w:color w:val="333333"/>
        </w:rPr>
        <w:t>月份提高</w:t>
      </w:r>
      <w:r w:rsidR="00085B36" w:rsidRPr="00085B36">
        <w:rPr>
          <w:rFonts w:ascii="Times New Roman" w:hAnsi="Times New Roman" w:cs="Times New Roman"/>
          <w:color w:val="333333"/>
        </w:rPr>
        <w:t>0.4</w:t>
      </w:r>
      <w:r w:rsidR="00085B36" w:rsidRPr="00085B36">
        <w:rPr>
          <w:rFonts w:ascii="Times New Roman" w:hAnsi="Times New Roman" w:cs="Times New Roman" w:hint="eastAsia"/>
          <w:color w:val="333333"/>
        </w:rPr>
        <w:t>个百分点</w:t>
      </w:r>
      <w:r w:rsidR="00702368" w:rsidRPr="00702368">
        <w:rPr>
          <w:rFonts w:ascii="Times New Roman" w:hAnsi="Times New Roman" w:cs="Times New Roman" w:hint="eastAsia"/>
          <w:color w:val="333333"/>
        </w:rPr>
        <w:t>。</w:t>
      </w:r>
      <w:r w:rsidR="00085B36" w:rsidRPr="00085B36">
        <w:rPr>
          <w:rFonts w:ascii="Times New Roman" w:hAnsi="Times New Roman" w:cs="Times New Roman" w:hint="eastAsia"/>
          <w:color w:val="333333"/>
        </w:rPr>
        <w:t>制造业投资增长</w:t>
      </w:r>
      <w:r w:rsidR="00085B36" w:rsidRPr="00085B36">
        <w:rPr>
          <w:rFonts w:ascii="Times New Roman" w:hAnsi="Times New Roman" w:cs="Times New Roman"/>
          <w:color w:val="333333"/>
        </w:rPr>
        <w:t>9.5%</w:t>
      </w:r>
      <w:r w:rsidR="00085B36" w:rsidRPr="00085B36">
        <w:rPr>
          <w:rFonts w:ascii="Times New Roman" w:hAnsi="Times New Roman" w:cs="Times New Roman" w:hint="eastAsia"/>
          <w:color w:val="333333"/>
        </w:rPr>
        <w:t>，增速提高</w:t>
      </w:r>
      <w:r w:rsidR="00085B36" w:rsidRPr="00085B36">
        <w:rPr>
          <w:rFonts w:ascii="Times New Roman" w:hAnsi="Times New Roman" w:cs="Times New Roman"/>
          <w:color w:val="333333"/>
        </w:rPr>
        <w:t>0.4</w:t>
      </w:r>
      <w:r w:rsidR="00085B36" w:rsidRPr="00085B36">
        <w:rPr>
          <w:rFonts w:ascii="Times New Roman" w:hAnsi="Times New Roman" w:cs="Times New Roman" w:hint="eastAsia"/>
          <w:color w:val="333333"/>
        </w:rPr>
        <w:t>个百分点；电力、热力、燃气及水生产和供应业投资下降</w:t>
      </w:r>
      <w:r w:rsidR="00085B36" w:rsidRPr="00085B36">
        <w:rPr>
          <w:rFonts w:ascii="Times New Roman" w:hAnsi="Times New Roman" w:cs="Times New Roman"/>
          <w:color w:val="333333"/>
        </w:rPr>
        <w:t>8.8%</w:t>
      </w:r>
      <w:r w:rsidR="00085B36" w:rsidRPr="00085B36">
        <w:rPr>
          <w:rFonts w:ascii="Times New Roman" w:hAnsi="Times New Roman" w:cs="Times New Roman" w:hint="eastAsia"/>
          <w:color w:val="333333"/>
        </w:rPr>
        <w:t>，降幅收窄</w:t>
      </w:r>
      <w:r w:rsidR="00085B36" w:rsidRPr="00085B36">
        <w:rPr>
          <w:rFonts w:ascii="Times New Roman" w:hAnsi="Times New Roman" w:cs="Times New Roman"/>
          <w:color w:val="333333"/>
        </w:rPr>
        <w:t>0.8</w:t>
      </w:r>
      <w:r w:rsidR="00085B36" w:rsidRPr="00085B36">
        <w:rPr>
          <w:rFonts w:ascii="Times New Roman" w:hAnsi="Times New Roman" w:cs="Times New Roman" w:hint="eastAsia"/>
          <w:color w:val="333333"/>
        </w:rPr>
        <w:t>个百分点。第三产业中，基础设施投资（不含电力、热力、燃气及水生产和供应业）同比增长</w:t>
      </w:r>
      <w:r w:rsidR="00085B36" w:rsidRPr="00085B36">
        <w:rPr>
          <w:rFonts w:ascii="Times New Roman" w:hAnsi="Times New Roman" w:cs="Times New Roman"/>
          <w:color w:val="333333"/>
        </w:rPr>
        <w:t>3.7%</w:t>
      </w:r>
      <w:r w:rsidR="00085B36" w:rsidRPr="00085B36">
        <w:rPr>
          <w:rFonts w:ascii="Times New Roman" w:hAnsi="Times New Roman" w:cs="Times New Roman" w:hint="eastAsia"/>
          <w:color w:val="333333"/>
        </w:rPr>
        <w:t>，增速与</w:t>
      </w:r>
      <w:r w:rsidR="00085B36" w:rsidRPr="00085B36">
        <w:rPr>
          <w:rFonts w:ascii="Times New Roman" w:hAnsi="Times New Roman" w:cs="Times New Roman"/>
          <w:color w:val="333333"/>
        </w:rPr>
        <w:t>1-10</w:t>
      </w:r>
      <w:r w:rsidR="00085B36" w:rsidRPr="00085B36">
        <w:rPr>
          <w:rFonts w:ascii="Times New Roman" w:hAnsi="Times New Roman" w:cs="Times New Roman" w:hint="eastAsia"/>
          <w:color w:val="333333"/>
        </w:rPr>
        <w:t>月份持平。</w:t>
      </w:r>
    </w:p>
    <w:p w14:paraId="10493C47" w14:textId="1791B9C8" w:rsidR="00214E9D" w:rsidRDefault="00A5092A" w:rsidP="00AB6C2A">
      <w:pPr>
        <w:spacing w:line="360" w:lineRule="auto"/>
        <w:ind w:firstLine="420"/>
      </w:pPr>
      <w:r>
        <w:rPr>
          <w:noProof/>
        </w:rPr>
        <w:drawing>
          <wp:inline distT="0" distB="0" distL="0" distR="0" wp14:anchorId="3E105137" wp14:editId="15DB4278">
            <wp:extent cx="5088890" cy="272732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8890" cy="2727325"/>
                    </a:xfrm>
                    <a:prstGeom prst="rect">
                      <a:avLst/>
                    </a:prstGeom>
                    <a:noFill/>
                    <a:ln>
                      <a:noFill/>
                    </a:ln>
                  </pic:spPr>
                </pic:pic>
              </a:graphicData>
            </a:graphic>
          </wp:inline>
        </w:drawing>
      </w:r>
    </w:p>
    <w:p w14:paraId="4C90EC5F" w14:textId="0D038BF1" w:rsidR="00A5092A" w:rsidRPr="00A5092A" w:rsidRDefault="00A5092A" w:rsidP="00AB6C2A">
      <w:pPr>
        <w:spacing w:line="360" w:lineRule="auto"/>
        <w:ind w:firstLine="420"/>
        <w:jc w:val="center"/>
      </w:pPr>
      <w:r>
        <w:rPr>
          <w:rFonts w:hint="eastAsia"/>
        </w:rPr>
        <w:t>图</w:t>
      </w:r>
      <w:r>
        <w:rPr>
          <w:rFonts w:hint="eastAsia"/>
        </w:rPr>
        <w:t>8</w:t>
      </w:r>
      <w:r>
        <w:rPr>
          <w:rFonts w:hint="eastAsia"/>
        </w:rPr>
        <w:tab/>
      </w:r>
      <w:r>
        <w:rPr>
          <w:rFonts w:hint="eastAsia"/>
        </w:rPr>
        <w:tab/>
      </w:r>
      <w:r>
        <w:rPr>
          <w:rFonts w:hint="eastAsia"/>
        </w:rPr>
        <w:t>固定资产</w:t>
      </w:r>
      <w:r>
        <w:t>投资同比增速</w:t>
      </w:r>
    </w:p>
    <w:p w14:paraId="49E8BBCB" w14:textId="77777777" w:rsidR="00214E9D" w:rsidRDefault="00214E9D" w:rsidP="00AB6C2A">
      <w:pPr>
        <w:spacing w:line="360" w:lineRule="auto"/>
        <w:ind w:firstLine="420"/>
      </w:pPr>
    </w:p>
    <w:p w14:paraId="4355FF2D" w14:textId="5E340D5F" w:rsidR="00FB50D7" w:rsidRPr="00FB50D7" w:rsidRDefault="0015080D" w:rsidP="00AB6C2A">
      <w:pPr>
        <w:spacing w:line="360" w:lineRule="auto"/>
        <w:ind w:firstLine="420"/>
      </w:pPr>
      <w:r>
        <w:rPr>
          <w:rFonts w:hint="eastAsia"/>
        </w:rPr>
        <w:t>第</w:t>
      </w:r>
      <w:r w:rsidR="00214E9D">
        <w:rPr>
          <w:rFonts w:hint="eastAsia"/>
        </w:rPr>
        <w:t>四</w:t>
      </w:r>
      <w:r w:rsidR="00E259DB">
        <w:rPr>
          <w:rFonts w:hint="eastAsia"/>
        </w:rPr>
        <w:t>，</w:t>
      </w:r>
      <w:r w:rsidR="00FB50D7">
        <w:t>生产活动预期</w:t>
      </w:r>
      <w:r w:rsidR="00FB50D7">
        <w:rPr>
          <w:rFonts w:hint="eastAsia"/>
        </w:rPr>
        <w:t>下滑</w:t>
      </w:r>
      <w:r w:rsidR="00EE570F">
        <w:rPr>
          <w:rFonts w:hint="eastAsia"/>
        </w:rPr>
        <w:t>。</w:t>
      </w:r>
      <w:r w:rsidR="00FB50D7">
        <w:rPr>
          <w:rFonts w:hint="eastAsia"/>
        </w:rPr>
        <w:t>生产</w:t>
      </w:r>
      <w:r w:rsidR="00FB50D7">
        <w:t>经济活动预期</w:t>
      </w:r>
      <w:r w:rsidR="00FB50D7">
        <w:t>PMI</w:t>
      </w:r>
      <w:r w:rsidR="00CA15E3">
        <w:rPr>
          <w:rFonts w:hint="eastAsia"/>
        </w:rPr>
        <w:t>指数</w:t>
      </w:r>
      <w:r w:rsidR="00FB50D7">
        <w:rPr>
          <w:rFonts w:hint="eastAsia"/>
        </w:rPr>
        <w:t>显示企业</w:t>
      </w:r>
      <w:r w:rsidR="00FB50D7">
        <w:t>对未来</w:t>
      </w:r>
      <w:r w:rsidR="00FB50D7">
        <w:rPr>
          <w:rFonts w:hint="eastAsia"/>
        </w:rPr>
        <w:t>经营预期在</w:t>
      </w:r>
      <w:r w:rsidR="00FB50D7">
        <w:rPr>
          <w:rFonts w:hint="eastAsia"/>
        </w:rPr>
        <w:t>2018</w:t>
      </w:r>
      <w:r w:rsidR="00FB50D7">
        <w:t>年中之后呈现</w:t>
      </w:r>
      <w:r w:rsidR="00FB50D7">
        <w:rPr>
          <w:rFonts w:hint="eastAsia"/>
        </w:rPr>
        <w:t>逐步</w:t>
      </w:r>
      <w:r w:rsidR="00FB50D7">
        <w:t>下降趋势</w:t>
      </w:r>
      <w:r w:rsidR="00FB50D7">
        <w:rPr>
          <w:rFonts w:hint="eastAsia"/>
        </w:rPr>
        <w:t>。</w:t>
      </w:r>
      <w:r w:rsidR="00EE570F">
        <w:t>生产</w:t>
      </w:r>
      <w:r w:rsidR="00EE570F">
        <w:rPr>
          <w:rFonts w:hint="eastAsia"/>
        </w:rPr>
        <w:t>经营</w:t>
      </w:r>
      <w:r w:rsidR="00EE570F">
        <w:t>活动预期</w:t>
      </w:r>
      <w:r w:rsidR="00EE570F">
        <w:t>PMI</w:t>
      </w:r>
      <w:r w:rsidR="00EE570F">
        <w:t>指数</w:t>
      </w:r>
      <w:r w:rsidR="00EE570F">
        <w:rPr>
          <w:rFonts w:hint="eastAsia"/>
        </w:rPr>
        <w:t>从</w:t>
      </w:r>
      <w:r w:rsidR="00FB50D7">
        <w:rPr>
          <w:rFonts w:hint="eastAsia"/>
        </w:rPr>
        <w:t>2</w:t>
      </w:r>
      <w:r w:rsidR="00FB50D7">
        <w:t>018</w:t>
      </w:r>
      <w:r w:rsidR="00FB50D7">
        <w:rPr>
          <w:rFonts w:hint="eastAsia"/>
        </w:rPr>
        <w:t>年</w:t>
      </w:r>
      <w:r w:rsidR="00FB50D7">
        <w:rPr>
          <w:rFonts w:hint="eastAsia"/>
        </w:rPr>
        <w:t>5</w:t>
      </w:r>
      <w:r w:rsidR="00FB50D7">
        <w:rPr>
          <w:rFonts w:hint="eastAsia"/>
        </w:rPr>
        <w:t>月</w:t>
      </w:r>
      <w:r w:rsidR="00EE570F">
        <w:rPr>
          <w:rFonts w:hint="eastAsia"/>
        </w:rPr>
        <w:t>的</w:t>
      </w:r>
      <w:r w:rsidR="00FB50D7">
        <w:rPr>
          <w:rFonts w:hint="eastAsia"/>
        </w:rPr>
        <w:t>58.</w:t>
      </w:r>
      <w:r w:rsidR="00EE570F">
        <w:t>7</w:t>
      </w:r>
      <w:r w:rsidR="00EE570F">
        <w:rPr>
          <w:rFonts w:hint="eastAsia"/>
        </w:rPr>
        <w:t>降至</w:t>
      </w:r>
      <w:r w:rsidR="00FB50D7">
        <w:rPr>
          <w:rFonts w:hint="eastAsia"/>
        </w:rPr>
        <w:t>11</w:t>
      </w:r>
      <w:r w:rsidR="00FB50D7">
        <w:rPr>
          <w:rFonts w:hint="eastAsia"/>
        </w:rPr>
        <w:t>月</w:t>
      </w:r>
      <w:r w:rsidR="00FB50D7">
        <w:rPr>
          <w:rFonts w:hint="eastAsia"/>
        </w:rPr>
        <w:t>5</w:t>
      </w:r>
      <w:r w:rsidR="00FB50D7">
        <w:t>4.2</w:t>
      </w:r>
      <w:r w:rsidR="00FB50D7">
        <w:rPr>
          <w:rFonts w:hint="eastAsia"/>
        </w:rPr>
        <w:t>，虽然</w:t>
      </w:r>
      <w:r w:rsidR="00FB50D7">
        <w:t>仍在荣枯线以上</w:t>
      </w:r>
      <w:r w:rsidR="00FB50D7">
        <w:rPr>
          <w:rFonts w:hint="eastAsia"/>
        </w:rPr>
        <w:t>，</w:t>
      </w:r>
      <w:r w:rsidR="00FB50D7">
        <w:t>但降幅</w:t>
      </w:r>
      <w:r w:rsidR="00FB50D7">
        <w:rPr>
          <w:rFonts w:hint="eastAsia"/>
        </w:rPr>
        <w:t>达到</w:t>
      </w:r>
      <w:r w:rsidR="00FB50D7">
        <w:t>4</w:t>
      </w:r>
      <w:r w:rsidR="00EE570F">
        <w:t>.</w:t>
      </w:r>
      <w:r w:rsidR="00EE570F">
        <w:rPr>
          <w:rFonts w:hint="eastAsia"/>
        </w:rPr>
        <w:t>5</w:t>
      </w:r>
      <w:r w:rsidR="00FB50D7">
        <w:t>。中小型企业生产</w:t>
      </w:r>
      <w:r w:rsidR="00FB50D7">
        <w:rPr>
          <w:rFonts w:hint="eastAsia"/>
        </w:rPr>
        <w:t>经营活动</w:t>
      </w:r>
      <w:r w:rsidR="00FB50D7">
        <w:t>预期</w:t>
      </w:r>
      <w:r w:rsidR="00FB50D7">
        <w:t>PMI</w:t>
      </w:r>
      <w:r w:rsidR="00FB50D7">
        <w:t>指数下降相对较</w:t>
      </w:r>
      <w:r w:rsidR="00FB50D7">
        <w:rPr>
          <w:rFonts w:hint="eastAsia"/>
        </w:rPr>
        <w:t>大。小型</w:t>
      </w:r>
      <w:r w:rsidR="00FB50D7">
        <w:t>企业生产</w:t>
      </w:r>
      <w:r w:rsidR="00FB50D7">
        <w:rPr>
          <w:rFonts w:hint="eastAsia"/>
        </w:rPr>
        <w:t>经营活动</w:t>
      </w:r>
      <w:r w:rsidR="00FB50D7">
        <w:t>预期</w:t>
      </w:r>
      <w:r w:rsidR="00FB50D7">
        <w:t>PMI</w:t>
      </w:r>
      <w:r w:rsidR="00FB50D7">
        <w:t>指数</w:t>
      </w:r>
      <w:r w:rsidR="00FB50D7">
        <w:rPr>
          <w:rFonts w:hint="eastAsia"/>
        </w:rPr>
        <w:t>从</w:t>
      </w:r>
      <w:r w:rsidR="00FB50D7">
        <w:rPr>
          <w:rFonts w:hint="eastAsia"/>
        </w:rPr>
        <w:t>3</w:t>
      </w:r>
      <w:r w:rsidR="00FB50D7">
        <w:rPr>
          <w:rFonts w:hint="eastAsia"/>
        </w:rPr>
        <w:t>月份</w:t>
      </w:r>
      <w:r w:rsidR="00FB50D7">
        <w:t>的</w:t>
      </w:r>
      <w:r w:rsidR="00FB50D7">
        <w:rPr>
          <w:rFonts w:hint="eastAsia"/>
        </w:rPr>
        <w:t>59.6</w:t>
      </w:r>
      <w:r w:rsidR="00FB50D7">
        <w:rPr>
          <w:rFonts w:hint="eastAsia"/>
        </w:rPr>
        <w:t>降至</w:t>
      </w:r>
      <w:r w:rsidR="00FB50D7">
        <w:rPr>
          <w:rFonts w:hint="eastAsia"/>
        </w:rPr>
        <w:t>11</w:t>
      </w:r>
      <w:r w:rsidR="00FB50D7">
        <w:rPr>
          <w:rFonts w:hint="eastAsia"/>
        </w:rPr>
        <w:t>月</w:t>
      </w:r>
      <w:r w:rsidR="00FB50D7">
        <w:t>的</w:t>
      </w:r>
      <w:r w:rsidR="00FB50D7">
        <w:rPr>
          <w:rFonts w:hint="eastAsia"/>
        </w:rPr>
        <w:t>52.8</w:t>
      </w:r>
      <w:r w:rsidR="00FB50D7">
        <w:rPr>
          <w:rFonts w:hint="eastAsia"/>
        </w:rPr>
        <w:t>，</w:t>
      </w:r>
      <w:r w:rsidR="00FB50D7">
        <w:t>下降幅度约为</w:t>
      </w:r>
      <w:r w:rsidR="00EE570F">
        <w:rPr>
          <w:rFonts w:hint="eastAsia"/>
        </w:rPr>
        <w:t>6</w:t>
      </w:r>
      <w:r w:rsidR="00EE570F">
        <w:t>.8</w:t>
      </w:r>
      <w:r w:rsidR="00FB50D7">
        <w:t>；</w:t>
      </w:r>
      <w:r w:rsidR="00FB50D7">
        <w:rPr>
          <w:rFonts w:hint="eastAsia"/>
        </w:rPr>
        <w:t>中型</w:t>
      </w:r>
      <w:r w:rsidR="00FB50D7">
        <w:t>企业生产</w:t>
      </w:r>
      <w:r w:rsidR="00FB50D7">
        <w:rPr>
          <w:rFonts w:hint="eastAsia"/>
        </w:rPr>
        <w:t>经营活动</w:t>
      </w:r>
      <w:r w:rsidR="00FB50D7">
        <w:t>预期</w:t>
      </w:r>
      <w:r w:rsidR="00FB50D7">
        <w:t>PMI</w:t>
      </w:r>
      <w:r w:rsidR="00FB50D7">
        <w:t>指数</w:t>
      </w:r>
      <w:r w:rsidR="00FB50D7">
        <w:rPr>
          <w:rFonts w:hint="eastAsia"/>
        </w:rPr>
        <w:t>从</w:t>
      </w:r>
      <w:r w:rsidR="00FB50D7">
        <w:rPr>
          <w:rFonts w:hint="eastAsia"/>
        </w:rPr>
        <w:t>3</w:t>
      </w:r>
      <w:r w:rsidR="00FB50D7">
        <w:rPr>
          <w:rFonts w:hint="eastAsia"/>
        </w:rPr>
        <w:t>月份</w:t>
      </w:r>
      <w:r w:rsidR="00FB50D7">
        <w:t>的</w:t>
      </w:r>
      <w:r w:rsidR="00FB50D7">
        <w:rPr>
          <w:rFonts w:hint="eastAsia"/>
        </w:rPr>
        <w:t>5</w:t>
      </w:r>
      <w:r w:rsidR="00EE570F">
        <w:t>7</w:t>
      </w:r>
      <w:r w:rsidR="00FB50D7">
        <w:rPr>
          <w:rFonts w:hint="eastAsia"/>
        </w:rPr>
        <w:t>.6</w:t>
      </w:r>
      <w:r w:rsidR="00FB50D7">
        <w:rPr>
          <w:rFonts w:hint="eastAsia"/>
        </w:rPr>
        <w:t>降至</w:t>
      </w:r>
      <w:r w:rsidR="00FB50D7">
        <w:rPr>
          <w:rFonts w:hint="eastAsia"/>
        </w:rPr>
        <w:t>11</w:t>
      </w:r>
      <w:r w:rsidR="00FB50D7">
        <w:rPr>
          <w:rFonts w:hint="eastAsia"/>
        </w:rPr>
        <w:t>月</w:t>
      </w:r>
      <w:r w:rsidR="00FB50D7">
        <w:t>的</w:t>
      </w:r>
      <w:r w:rsidR="00FB50D7">
        <w:rPr>
          <w:rFonts w:hint="eastAsia"/>
        </w:rPr>
        <w:t>52.</w:t>
      </w:r>
      <w:r w:rsidR="00EE570F">
        <w:t>6</w:t>
      </w:r>
      <w:r w:rsidR="00FB50D7">
        <w:rPr>
          <w:rFonts w:hint="eastAsia"/>
        </w:rPr>
        <w:t>，</w:t>
      </w:r>
      <w:r w:rsidR="00FB50D7">
        <w:t>下降幅度约为</w:t>
      </w:r>
      <w:r w:rsidR="00EE570F">
        <w:t>5.6</w:t>
      </w:r>
      <w:r w:rsidR="00EE570F">
        <w:rPr>
          <w:rFonts w:hint="eastAsia"/>
        </w:rPr>
        <w:t>；</w:t>
      </w:r>
      <w:r w:rsidR="00EE570F">
        <w:t>大型企业生产</w:t>
      </w:r>
      <w:r w:rsidR="00EE570F">
        <w:rPr>
          <w:rFonts w:hint="eastAsia"/>
        </w:rPr>
        <w:t>经营活动</w:t>
      </w:r>
      <w:r w:rsidR="00EE570F">
        <w:t>预期</w:t>
      </w:r>
      <w:r w:rsidR="00EE570F">
        <w:t>PMI</w:t>
      </w:r>
      <w:r w:rsidR="00EE570F">
        <w:t>指数</w:t>
      </w:r>
      <w:r w:rsidR="00EE570F">
        <w:rPr>
          <w:rFonts w:hint="eastAsia"/>
        </w:rPr>
        <w:t>从</w:t>
      </w:r>
      <w:r w:rsidR="00EE570F">
        <w:t>5</w:t>
      </w:r>
      <w:r w:rsidR="00EE570F">
        <w:rPr>
          <w:rFonts w:hint="eastAsia"/>
        </w:rPr>
        <w:t>月份</w:t>
      </w:r>
      <w:r w:rsidR="00EE570F">
        <w:t>的</w:t>
      </w:r>
      <w:r w:rsidR="00EE570F">
        <w:rPr>
          <w:rFonts w:hint="eastAsia"/>
        </w:rPr>
        <w:t>5</w:t>
      </w:r>
      <w:r w:rsidR="00EE570F">
        <w:t>9.8</w:t>
      </w:r>
      <w:r w:rsidR="00EE570F">
        <w:rPr>
          <w:rFonts w:hint="eastAsia"/>
        </w:rPr>
        <w:t>降至</w:t>
      </w:r>
      <w:r w:rsidR="00EE570F">
        <w:rPr>
          <w:rFonts w:hint="eastAsia"/>
        </w:rPr>
        <w:t>11</w:t>
      </w:r>
      <w:r w:rsidR="00EE570F">
        <w:rPr>
          <w:rFonts w:hint="eastAsia"/>
        </w:rPr>
        <w:t>月</w:t>
      </w:r>
      <w:r w:rsidR="00EE570F">
        <w:t>的</w:t>
      </w:r>
      <w:r w:rsidR="00EE570F">
        <w:rPr>
          <w:rFonts w:hint="eastAsia"/>
        </w:rPr>
        <w:t>5</w:t>
      </w:r>
      <w:r w:rsidR="00EE570F">
        <w:t>5</w:t>
      </w:r>
      <w:r w:rsidR="00EE570F">
        <w:rPr>
          <w:rFonts w:hint="eastAsia"/>
        </w:rPr>
        <w:t>.</w:t>
      </w:r>
      <w:r w:rsidR="00EE570F">
        <w:t>4</w:t>
      </w:r>
      <w:r w:rsidR="00EE570F">
        <w:rPr>
          <w:rFonts w:hint="eastAsia"/>
        </w:rPr>
        <w:t>，</w:t>
      </w:r>
      <w:r w:rsidR="00EE570F">
        <w:t>下降幅度约为</w:t>
      </w:r>
      <w:r w:rsidR="00EE570F">
        <w:rPr>
          <w:rFonts w:hint="eastAsia"/>
        </w:rPr>
        <w:t>4</w:t>
      </w:r>
      <w:r w:rsidR="00EE570F">
        <w:t>.4</w:t>
      </w:r>
      <w:r w:rsidR="00EE570F">
        <w:rPr>
          <w:rFonts w:hint="eastAsia"/>
        </w:rPr>
        <w:t>。由此可见</w:t>
      </w:r>
      <w:r w:rsidR="00EE570F">
        <w:t>中小企业在本轮经济下滑过程中</w:t>
      </w:r>
      <w:r w:rsidR="000761B3">
        <w:rPr>
          <w:rFonts w:hint="eastAsia"/>
        </w:rPr>
        <w:t>面临</w:t>
      </w:r>
      <w:r w:rsidR="00EE570F">
        <w:t>的压力更大。</w:t>
      </w:r>
    </w:p>
    <w:p w14:paraId="76CA9907" w14:textId="77777777" w:rsidR="00010846" w:rsidRDefault="00010846" w:rsidP="00AB6C2A">
      <w:pPr>
        <w:spacing w:line="360" w:lineRule="auto"/>
        <w:jc w:val="center"/>
      </w:pPr>
      <w:r>
        <w:rPr>
          <w:noProof/>
        </w:rPr>
        <w:drawing>
          <wp:inline distT="0" distB="0" distL="0" distR="0" wp14:anchorId="1942B0A3" wp14:editId="48B2D8C8">
            <wp:extent cx="4389120" cy="2663687"/>
            <wp:effectExtent l="0" t="0" r="0" b="381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5D9814" w14:textId="2C5D01BF" w:rsidR="00010846" w:rsidRDefault="00FF3BF8" w:rsidP="00AB6C2A">
      <w:pPr>
        <w:spacing w:line="360" w:lineRule="auto"/>
        <w:ind w:firstLine="420"/>
        <w:jc w:val="center"/>
      </w:pPr>
      <w:r>
        <w:rPr>
          <w:rFonts w:hint="eastAsia"/>
        </w:rPr>
        <w:t>图</w:t>
      </w:r>
      <w:r w:rsidR="00A5092A">
        <w:t>10</w:t>
      </w:r>
      <w:r>
        <w:rPr>
          <w:rFonts w:hint="eastAsia"/>
        </w:rPr>
        <w:t xml:space="preserve"> </w:t>
      </w:r>
      <w:r>
        <w:rPr>
          <w:rFonts w:hint="eastAsia"/>
        </w:rPr>
        <w:t>生产</w:t>
      </w:r>
      <w:r>
        <w:t>经济</w:t>
      </w:r>
      <w:r>
        <w:rPr>
          <w:rFonts w:hint="eastAsia"/>
        </w:rPr>
        <w:t>活动</w:t>
      </w:r>
      <w:r>
        <w:t>预期</w:t>
      </w:r>
      <w:r>
        <w:t>PMI</w:t>
      </w:r>
      <w:r>
        <w:t>指数</w:t>
      </w:r>
    </w:p>
    <w:p w14:paraId="0F9D4DAD" w14:textId="77777777" w:rsidR="00E7756B" w:rsidRDefault="00E7756B" w:rsidP="00AB6C2A">
      <w:pPr>
        <w:spacing w:line="360" w:lineRule="auto"/>
        <w:jc w:val="center"/>
      </w:pPr>
    </w:p>
    <w:p w14:paraId="2EE94A8C" w14:textId="2565858E" w:rsidR="007C2D41" w:rsidRDefault="00E7756B" w:rsidP="00AB6C2A">
      <w:pPr>
        <w:spacing w:line="360" w:lineRule="auto"/>
        <w:ind w:firstLine="420"/>
        <w:jc w:val="left"/>
      </w:pPr>
      <w:r>
        <w:rPr>
          <w:rFonts w:hint="eastAsia"/>
        </w:rPr>
        <w:t>第</w:t>
      </w:r>
      <w:r w:rsidR="00E259DB">
        <w:rPr>
          <w:rFonts w:hint="eastAsia"/>
        </w:rPr>
        <w:t>五</w:t>
      </w:r>
      <w:r>
        <w:t>，</w:t>
      </w:r>
      <w:r>
        <w:rPr>
          <w:rFonts w:hint="eastAsia"/>
        </w:rPr>
        <w:t>货币</w:t>
      </w:r>
      <w:r>
        <w:t>供给增速持续</w:t>
      </w:r>
      <w:r w:rsidR="0006212A">
        <w:rPr>
          <w:rFonts w:hint="eastAsia"/>
        </w:rPr>
        <w:t>下降</w:t>
      </w:r>
      <w:r w:rsidR="0006212A">
        <w:t>是总需求不足的原因之一。</w:t>
      </w:r>
      <w:r w:rsidR="001B6D3F">
        <w:rPr>
          <w:rFonts w:hint="eastAsia"/>
        </w:rPr>
        <w:t>进入</w:t>
      </w:r>
      <w:r w:rsidR="001B6D3F">
        <w:t>新常态之后，我国经济发生结构</w:t>
      </w:r>
      <w:r w:rsidR="001B6D3F">
        <w:rPr>
          <w:rFonts w:hint="eastAsia"/>
        </w:rPr>
        <w:t>性</w:t>
      </w:r>
      <w:r w:rsidR="001B6D3F">
        <w:t>变化，货币</w:t>
      </w:r>
      <w:r w:rsidR="001B6D3F">
        <w:rPr>
          <w:rFonts w:hint="eastAsia"/>
        </w:rPr>
        <w:t>供给</w:t>
      </w:r>
      <w:r w:rsidR="001B6D3F">
        <w:t>和经济增长的关系发生显著变化。</w:t>
      </w:r>
      <w:r w:rsidR="001B6D3F">
        <w:rPr>
          <w:rFonts w:hint="eastAsia"/>
        </w:rPr>
        <w:t>但是</w:t>
      </w:r>
      <w:r w:rsidR="001B6D3F">
        <w:t>过</w:t>
      </w:r>
      <w:r w:rsidR="001B6D3F">
        <w:rPr>
          <w:rFonts w:hint="eastAsia"/>
        </w:rPr>
        <w:t>低</w:t>
      </w:r>
      <w:r w:rsidR="001B6D3F">
        <w:t>的货币增长</w:t>
      </w:r>
      <w:r w:rsidR="00BB2505">
        <w:rPr>
          <w:rFonts w:hint="eastAsia"/>
        </w:rPr>
        <w:t>率</w:t>
      </w:r>
      <w:r w:rsidR="00BB2505">
        <w:t>对稳定总需求显然有不利影响。</w:t>
      </w:r>
      <w:r w:rsidR="004008AF">
        <w:rPr>
          <w:rFonts w:hint="eastAsia"/>
        </w:rPr>
        <w:t>导致广义</w:t>
      </w:r>
      <w:r w:rsidR="004008AF">
        <w:t>货币余额增速不断下滑的</w:t>
      </w:r>
      <w:r w:rsidR="004008AF">
        <w:rPr>
          <w:rFonts w:hint="eastAsia"/>
        </w:rPr>
        <w:t>主要</w:t>
      </w:r>
      <w:r w:rsidR="004008AF">
        <w:t>原因在于</w:t>
      </w:r>
      <w:r w:rsidR="004008AF">
        <w:rPr>
          <w:rFonts w:hint="eastAsia"/>
        </w:rPr>
        <w:t>基础</w:t>
      </w:r>
      <w:r w:rsidR="004008AF">
        <w:t>货币供给增速呈现趋势性下降</w:t>
      </w:r>
      <w:r w:rsidR="004008AF">
        <w:rPr>
          <w:rFonts w:hint="eastAsia"/>
        </w:rPr>
        <w:t>，</w:t>
      </w:r>
      <w:r w:rsidR="007C2D41">
        <w:rPr>
          <w:rFonts w:hint="eastAsia"/>
        </w:rPr>
        <w:t>从</w:t>
      </w:r>
      <w:r w:rsidR="007C2D41">
        <w:rPr>
          <w:rFonts w:hint="eastAsia"/>
        </w:rPr>
        <w:t>2016</w:t>
      </w:r>
      <w:r w:rsidR="007C2D41">
        <w:rPr>
          <w:rFonts w:hint="eastAsia"/>
        </w:rPr>
        <w:t>年</w:t>
      </w:r>
      <w:r w:rsidR="007C2D41">
        <w:t>底约</w:t>
      </w:r>
      <w:r w:rsidR="007C2D41">
        <w:rPr>
          <w:rFonts w:hint="eastAsia"/>
        </w:rPr>
        <w:t>11.8</w:t>
      </w:r>
      <w:r w:rsidR="007C2D41">
        <w:t>%</w:t>
      </w:r>
      <w:r w:rsidR="007C2D41">
        <w:t>的增长率逐步降低至</w:t>
      </w:r>
      <w:r w:rsidR="004008AF">
        <w:rPr>
          <w:rFonts w:hint="eastAsia"/>
        </w:rPr>
        <w:t>2018</w:t>
      </w:r>
      <w:r w:rsidR="004008AF">
        <w:rPr>
          <w:rFonts w:hint="eastAsia"/>
        </w:rPr>
        <w:t>年</w:t>
      </w:r>
      <w:r w:rsidR="006771AF">
        <w:t>10</w:t>
      </w:r>
      <w:r w:rsidR="004008AF">
        <w:rPr>
          <w:rFonts w:hint="eastAsia"/>
        </w:rPr>
        <w:t>月</w:t>
      </w:r>
      <w:r w:rsidR="006771AF">
        <w:t>-2.3%</w:t>
      </w:r>
      <w:r w:rsidR="007C2D41">
        <w:rPr>
          <w:rFonts w:hint="eastAsia"/>
        </w:rPr>
        <w:t>的</w:t>
      </w:r>
      <w:r w:rsidR="007C2D41">
        <w:t>增长率</w:t>
      </w:r>
      <w:r w:rsidR="006771AF">
        <w:t>。</w:t>
      </w:r>
    </w:p>
    <w:p w14:paraId="612414E5" w14:textId="77777777" w:rsidR="0015080D" w:rsidRDefault="007C2D41" w:rsidP="00AB6C2A">
      <w:pPr>
        <w:spacing w:line="360" w:lineRule="auto"/>
        <w:ind w:firstLine="420"/>
      </w:pPr>
      <w:r>
        <w:rPr>
          <w:rFonts w:hint="eastAsia"/>
        </w:rPr>
        <w:t>根据货币数量</w:t>
      </w:r>
      <w:r>
        <w:t>方程，</w:t>
      </w:r>
      <w:r>
        <w:rPr>
          <w:rFonts w:hint="eastAsia"/>
        </w:rPr>
        <w:t>广义</w:t>
      </w:r>
      <w:r>
        <w:t>货币余额增速低于名义</w:t>
      </w:r>
      <w:r>
        <w:t>GDP</w:t>
      </w:r>
      <w:r>
        <w:t>增速意味着货币流通速度在</w:t>
      </w:r>
      <w:r w:rsidR="00B82CDC">
        <w:rPr>
          <w:rFonts w:hint="eastAsia"/>
        </w:rPr>
        <w:t>加快，</w:t>
      </w:r>
      <w:r w:rsidR="00B82CDC">
        <w:t>然而经济学理论表明在经济增速下降和通货膨胀保持稳定时，</w:t>
      </w:r>
      <w:r w:rsidR="00B82CDC">
        <w:rPr>
          <w:rFonts w:hint="eastAsia"/>
        </w:rPr>
        <w:t>居民提升</w:t>
      </w:r>
      <w:r w:rsidR="00B82CDC">
        <w:t>货币流通速度的</w:t>
      </w:r>
      <w:r w:rsidR="00B82CDC">
        <w:rPr>
          <w:rFonts w:hint="eastAsia"/>
        </w:rPr>
        <w:t>意愿并不强</w:t>
      </w:r>
      <w:r>
        <w:t>。</w:t>
      </w:r>
      <w:r w:rsidR="00B82CDC">
        <w:rPr>
          <w:rFonts w:hint="eastAsia"/>
        </w:rPr>
        <w:t>当前</w:t>
      </w:r>
      <w:r w:rsidR="00B82CDC">
        <w:t>的货币流通速度提升</w:t>
      </w:r>
      <w:r w:rsidR="00D80B81">
        <w:rPr>
          <w:rFonts w:hint="eastAsia"/>
        </w:rPr>
        <w:t>可能</w:t>
      </w:r>
      <w:r w:rsidR="00D80B81">
        <w:t>在</w:t>
      </w:r>
      <w:r w:rsidR="00B82CDC">
        <w:t>相当</w:t>
      </w:r>
      <w:r w:rsidR="00B82CDC">
        <w:rPr>
          <w:rFonts w:hint="eastAsia"/>
        </w:rPr>
        <w:t>大</w:t>
      </w:r>
      <w:r w:rsidR="00B82CDC">
        <w:t>程度上具有被动</w:t>
      </w:r>
      <w:r w:rsidR="00D80B81">
        <w:rPr>
          <w:rFonts w:hint="eastAsia"/>
        </w:rPr>
        <w:t>性</w:t>
      </w:r>
      <w:r w:rsidR="00B82CDC">
        <w:t>。</w:t>
      </w:r>
      <w:r>
        <w:t>从</w:t>
      </w:r>
      <w:r>
        <w:rPr>
          <w:rFonts w:hint="eastAsia"/>
        </w:rPr>
        <w:t>2017</w:t>
      </w:r>
      <w:r>
        <w:rPr>
          <w:rFonts w:hint="eastAsia"/>
        </w:rPr>
        <w:t>年</w:t>
      </w:r>
      <w:r>
        <w:rPr>
          <w:rFonts w:hint="eastAsia"/>
        </w:rPr>
        <w:t>1</w:t>
      </w:r>
      <w:r>
        <w:rPr>
          <w:rFonts w:hint="eastAsia"/>
        </w:rPr>
        <w:t>季度</w:t>
      </w:r>
      <w:r>
        <w:t>到</w:t>
      </w:r>
      <w:r>
        <w:rPr>
          <w:rFonts w:hint="eastAsia"/>
        </w:rPr>
        <w:t>2018</w:t>
      </w:r>
      <w:r>
        <w:rPr>
          <w:rFonts w:hint="eastAsia"/>
        </w:rPr>
        <w:t>年</w:t>
      </w:r>
      <w:r>
        <w:rPr>
          <w:rFonts w:hint="eastAsia"/>
        </w:rPr>
        <w:t>3</w:t>
      </w:r>
      <w:r>
        <w:rPr>
          <w:rFonts w:hint="eastAsia"/>
        </w:rPr>
        <w:t>季度</w:t>
      </w:r>
      <w:r>
        <w:t>，</w:t>
      </w:r>
      <w:r>
        <w:rPr>
          <w:rFonts w:hint="eastAsia"/>
        </w:rPr>
        <w:t>我国</w:t>
      </w:r>
      <w:r>
        <w:t>已经连续</w:t>
      </w:r>
      <w:r>
        <w:rPr>
          <w:rFonts w:hint="eastAsia"/>
        </w:rPr>
        <w:t>7</w:t>
      </w:r>
      <w:r>
        <w:rPr>
          <w:rFonts w:hint="eastAsia"/>
        </w:rPr>
        <w:t>个季度广义</w:t>
      </w:r>
      <w:r>
        <w:t>货币余额增速低于名义</w:t>
      </w:r>
      <w:r>
        <w:t>GDP</w:t>
      </w:r>
      <w:r>
        <w:t>增速</w:t>
      </w:r>
      <w:r>
        <w:rPr>
          <w:rFonts w:hint="eastAsia"/>
        </w:rPr>
        <w:t>。</w:t>
      </w:r>
      <w:r>
        <w:t>该趋势</w:t>
      </w:r>
      <w:r>
        <w:rPr>
          <w:rFonts w:hint="eastAsia"/>
        </w:rPr>
        <w:t>如果</w:t>
      </w:r>
      <w:r>
        <w:t>长期持续对稳定总需求会造成不利影响。</w:t>
      </w:r>
      <w:r w:rsidR="00432A78">
        <w:rPr>
          <w:rFonts w:hint="eastAsia"/>
        </w:rPr>
        <w:t>即便</w:t>
      </w:r>
      <w:r w:rsidR="00432A78">
        <w:t>是</w:t>
      </w:r>
      <w:r w:rsidR="00432A78">
        <w:rPr>
          <w:rFonts w:hint="eastAsia"/>
        </w:rPr>
        <w:t>在直接融资</w:t>
      </w:r>
      <w:r w:rsidR="00432A78">
        <w:t>市场发达的经济体，广义货币增速长期低于名义总需求增速也将会对</w:t>
      </w:r>
      <w:r w:rsidR="00432A78">
        <w:rPr>
          <w:rFonts w:hint="eastAsia"/>
        </w:rPr>
        <w:t>维持</w:t>
      </w:r>
      <w:r w:rsidR="00432A78">
        <w:t>总需求</w:t>
      </w:r>
      <w:r w:rsidR="00432A78">
        <w:rPr>
          <w:rFonts w:hint="eastAsia"/>
        </w:rPr>
        <w:t>稳定</w:t>
      </w:r>
      <w:r w:rsidR="00432A78">
        <w:t>造成不良影响。</w:t>
      </w:r>
    </w:p>
    <w:p w14:paraId="53CDF2AF" w14:textId="041786D7" w:rsidR="00010846" w:rsidRDefault="00925B91" w:rsidP="00AB6C2A">
      <w:pPr>
        <w:spacing w:line="360" w:lineRule="auto"/>
        <w:ind w:firstLine="420"/>
        <w:jc w:val="left"/>
      </w:pPr>
      <w:r>
        <w:rPr>
          <w:noProof/>
        </w:rPr>
        <w:lastRenderedPageBreak/>
        <w:drawing>
          <wp:inline distT="0" distB="0" distL="0" distR="0" wp14:anchorId="159C8FFE" wp14:editId="65441BEB">
            <wp:extent cx="4572000" cy="2743200"/>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A16757" w14:textId="4A1EBB3A" w:rsidR="00432A78" w:rsidRDefault="00432A78" w:rsidP="00AB6C2A">
      <w:pPr>
        <w:spacing w:line="360" w:lineRule="auto"/>
        <w:ind w:firstLine="420"/>
        <w:jc w:val="center"/>
      </w:pPr>
      <w:r>
        <w:rPr>
          <w:rFonts w:hint="eastAsia"/>
        </w:rPr>
        <w:t>图</w:t>
      </w:r>
      <w:r w:rsidR="00A5092A">
        <w:t>11</w:t>
      </w:r>
      <w:r w:rsidR="00A5092A">
        <w:tab/>
      </w:r>
      <w:r>
        <w:rPr>
          <w:rFonts w:hint="eastAsia"/>
        </w:rPr>
        <w:t>货币</w:t>
      </w:r>
      <w:r>
        <w:t>增速和名义总需求增速</w:t>
      </w:r>
    </w:p>
    <w:p w14:paraId="11A03036" w14:textId="77777777" w:rsidR="00E259DB" w:rsidRDefault="00E259DB" w:rsidP="00AB6C2A">
      <w:pPr>
        <w:spacing w:line="360" w:lineRule="auto"/>
        <w:ind w:firstLine="420"/>
        <w:jc w:val="center"/>
      </w:pPr>
    </w:p>
    <w:p w14:paraId="1EE405F6" w14:textId="496633E6" w:rsidR="00010846" w:rsidRPr="00E259DB" w:rsidRDefault="00E259DB" w:rsidP="00AB6C2A">
      <w:pPr>
        <w:spacing w:line="360" w:lineRule="auto"/>
        <w:ind w:firstLine="420"/>
      </w:pPr>
      <w:r>
        <w:rPr>
          <w:rFonts w:hint="eastAsia"/>
        </w:rPr>
        <w:t>经济</w:t>
      </w:r>
      <w:r>
        <w:t>学理论通常假设长期内货币流通速度保持不变，或者</w:t>
      </w:r>
      <w:r>
        <w:rPr>
          <w:rFonts w:hint="eastAsia"/>
        </w:rPr>
        <w:t>在</w:t>
      </w:r>
      <w:r>
        <w:t>发达国家中随着金融市场的发展货币流通速度呈现倒</w:t>
      </w:r>
      <w:r>
        <w:t>U</w:t>
      </w:r>
      <w:r>
        <w:t>性变化。</w:t>
      </w:r>
      <w:r>
        <w:rPr>
          <w:rFonts w:hint="eastAsia"/>
        </w:rPr>
        <w:t>但是在</w:t>
      </w:r>
      <w:r>
        <w:t>短期内，货币流通速度的</w:t>
      </w:r>
      <w:r>
        <w:rPr>
          <w:rFonts w:hint="eastAsia"/>
        </w:rPr>
        <w:t>阶段性</w:t>
      </w:r>
      <w:r>
        <w:t>提升也可能会对经济造成不利影响。</w:t>
      </w:r>
      <w:r>
        <w:rPr>
          <w:rFonts w:hint="eastAsia"/>
        </w:rPr>
        <w:t>20</w:t>
      </w:r>
      <w:r>
        <w:rPr>
          <w:rFonts w:hint="eastAsia"/>
        </w:rPr>
        <w:t>世纪</w:t>
      </w:r>
      <w:r>
        <w:t>80</w:t>
      </w:r>
      <w:r>
        <w:rPr>
          <w:rFonts w:hint="eastAsia"/>
        </w:rPr>
        <w:t>年代后期美国</w:t>
      </w:r>
      <w:r>
        <w:t>货币增速不断下降且低于名义</w:t>
      </w:r>
      <w:r>
        <w:t>GDP</w:t>
      </w:r>
      <w:r>
        <w:t>增速</w:t>
      </w:r>
      <w:r>
        <w:rPr>
          <w:rFonts w:hint="eastAsia"/>
        </w:rPr>
        <w:t>伴随着</w:t>
      </w:r>
      <w:r>
        <w:t>是美国经济在</w:t>
      </w:r>
      <w:r>
        <w:rPr>
          <w:rFonts w:hint="eastAsia"/>
        </w:rPr>
        <w:t>90</w:t>
      </w:r>
      <w:r>
        <w:rPr>
          <w:rFonts w:hint="eastAsia"/>
        </w:rPr>
        <w:t>年代</w:t>
      </w:r>
      <w:r>
        <w:t>初期的衰退；</w:t>
      </w:r>
      <w:r>
        <w:rPr>
          <w:rFonts w:hint="eastAsia"/>
        </w:rPr>
        <w:t>200</w:t>
      </w:r>
      <w:r>
        <w:t>4</w:t>
      </w:r>
      <w:r>
        <w:rPr>
          <w:rFonts w:hint="eastAsia"/>
        </w:rPr>
        <w:t>年</w:t>
      </w:r>
      <w:r>
        <w:t>至</w:t>
      </w:r>
      <w:r>
        <w:rPr>
          <w:rFonts w:hint="eastAsia"/>
        </w:rPr>
        <w:t>2006</w:t>
      </w:r>
      <w:r>
        <w:rPr>
          <w:rFonts w:hint="eastAsia"/>
        </w:rPr>
        <w:t>年美国</w:t>
      </w:r>
      <w:r>
        <w:t>货币增速低于名义总需求增速</w:t>
      </w:r>
      <w:r>
        <w:rPr>
          <w:rFonts w:hint="eastAsia"/>
        </w:rPr>
        <w:t>伴随的</w:t>
      </w:r>
      <w:r>
        <w:t>是美国经济在金融危机之后的剧烈下滑。</w:t>
      </w:r>
      <w:r>
        <w:rPr>
          <w:rFonts w:hint="eastAsia"/>
        </w:rPr>
        <w:t>因此</w:t>
      </w:r>
      <w:r>
        <w:t>我国当期货币增速低于名义</w:t>
      </w:r>
      <w:r>
        <w:t>GDP</w:t>
      </w:r>
      <w:r>
        <w:t>增速的现象值得</w:t>
      </w:r>
      <w:r>
        <w:rPr>
          <w:rFonts w:hint="eastAsia"/>
        </w:rPr>
        <w:t>特别</w:t>
      </w:r>
      <w:r>
        <w:t>关注。</w:t>
      </w:r>
    </w:p>
    <w:p w14:paraId="2CC56571" w14:textId="4A0E6F13" w:rsidR="00010846" w:rsidRDefault="00976B00" w:rsidP="00AB6C2A">
      <w:pPr>
        <w:spacing w:line="360" w:lineRule="auto"/>
        <w:jc w:val="center"/>
      </w:pPr>
      <w:r>
        <w:rPr>
          <w:noProof/>
        </w:rPr>
        <w:drawing>
          <wp:inline distT="0" distB="0" distL="0" distR="0" wp14:anchorId="26C812B5" wp14:editId="0D724D9E">
            <wp:extent cx="4572000" cy="2743200"/>
            <wp:effectExtent l="0" t="0" r="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C1FC19" w14:textId="1C4A18EA" w:rsidR="00432A78" w:rsidRDefault="00432A78" w:rsidP="00AB6C2A">
      <w:pPr>
        <w:spacing w:line="360" w:lineRule="auto"/>
        <w:ind w:firstLine="420"/>
        <w:jc w:val="center"/>
      </w:pPr>
      <w:r>
        <w:rPr>
          <w:rFonts w:hint="eastAsia"/>
        </w:rPr>
        <w:t>图</w:t>
      </w:r>
      <w:r w:rsidR="00A5092A">
        <w:t>12</w:t>
      </w:r>
      <w:r>
        <w:rPr>
          <w:rFonts w:hint="eastAsia"/>
        </w:rPr>
        <w:tab/>
      </w:r>
      <w:r>
        <w:tab/>
      </w:r>
      <w:r>
        <w:rPr>
          <w:rFonts w:hint="eastAsia"/>
        </w:rPr>
        <w:t>美国货币</w:t>
      </w:r>
      <w:r>
        <w:t>增速和名义总需求增速</w:t>
      </w:r>
    </w:p>
    <w:p w14:paraId="2BB765BD" w14:textId="77777777" w:rsidR="00432A78" w:rsidRDefault="00432A78" w:rsidP="00AB6C2A">
      <w:pPr>
        <w:spacing w:line="360" w:lineRule="auto"/>
        <w:ind w:firstLine="420"/>
        <w:jc w:val="left"/>
      </w:pPr>
    </w:p>
    <w:p w14:paraId="7507A6E6" w14:textId="46BCFC3F" w:rsidR="00214E9D" w:rsidRDefault="00E259DB" w:rsidP="00AB6C2A">
      <w:pPr>
        <w:spacing w:line="360" w:lineRule="auto"/>
        <w:ind w:firstLine="420"/>
      </w:pPr>
      <w:r>
        <w:rPr>
          <w:rFonts w:hint="eastAsia"/>
        </w:rPr>
        <w:t>第六，</w:t>
      </w:r>
      <w:r w:rsidR="00D85265" w:rsidRPr="00D85265">
        <w:t>工业生产增速有所回落，</w:t>
      </w:r>
      <w:r w:rsidR="00C358A1">
        <w:rPr>
          <w:rFonts w:hint="eastAsia"/>
        </w:rPr>
        <w:t>但</w:t>
      </w:r>
      <w:r w:rsidR="00D85265" w:rsidRPr="00D85265">
        <w:t>中高端行业增势良好</w:t>
      </w:r>
      <w:r w:rsidR="00C358A1">
        <w:rPr>
          <w:rFonts w:hint="eastAsia"/>
        </w:rPr>
        <w:t>。</w:t>
      </w:r>
      <w:r w:rsidR="00D85265" w:rsidRPr="00D85265">
        <w:t>11</w:t>
      </w:r>
      <w:r w:rsidR="00D85265" w:rsidRPr="00D85265">
        <w:t>月全国规模以上工业增加</w:t>
      </w:r>
      <w:r w:rsidR="00D85265" w:rsidRPr="00D85265">
        <w:lastRenderedPageBreak/>
        <w:t>值同比实际增长</w:t>
      </w:r>
      <w:r w:rsidR="00D85265" w:rsidRPr="00D85265">
        <w:t>5.4%</w:t>
      </w:r>
      <w:r w:rsidR="00D85265" w:rsidRPr="00D85265">
        <w:t>，增速比上月回落</w:t>
      </w:r>
      <w:r w:rsidR="00D85265" w:rsidRPr="00D85265">
        <w:t>0.5</w:t>
      </w:r>
      <w:r w:rsidR="00D85265" w:rsidRPr="00D85265">
        <w:t>个百分点。分经济类型看，国有控股企业增加值同比增长</w:t>
      </w:r>
      <w:r w:rsidR="00D85265" w:rsidRPr="00D85265">
        <w:t>3.9%</w:t>
      </w:r>
      <w:r w:rsidR="00D85265" w:rsidRPr="00D85265">
        <w:t>，集体企业增长</w:t>
      </w:r>
      <w:r w:rsidR="00D85265" w:rsidRPr="00D85265">
        <w:t>2.0%</w:t>
      </w:r>
      <w:r w:rsidR="00D85265" w:rsidRPr="00D85265">
        <w:t>，股份制企业增长</w:t>
      </w:r>
      <w:r w:rsidR="00D85265" w:rsidRPr="00D85265">
        <w:t>6.6%</w:t>
      </w:r>
      <w:r w:rsidR="00D85265" w:rsidRPr="00D85265">
        <w:t>，外商及港澳台商投资企业增长</w:t>
      </w:r>
      <w:r w:rsidR="00D85265" w:rsidRPr="00D85265">
        <w:t>1.9%</w:t>
      </w:r>
      <w:r w:rsidR="00D85265" w:rsidRPr="00D85265">
        <w:t>。</w:t>
      </w:r>
    </w:p>
    <w:p w14:paraId="10CCFBC1" w14:textId="419AC801" w:rsidR="00214E9D" w:rsidRDefault="00D85265" w:rsidP="00AB6C2A">
      <w:pPr>
        <w:spacing w:line="360" w:lineRule="auto"/>
        <w:ind w:firstLine="420"/>
      </w:pPr>
      <w:r w:rsidRPr="00D85265">
        <w:t>分三大门类看，采矿业增加值同比增长</w:t>
      </w:r>
      <w:r w:rsidRPr="00D85265">
        <w:t>2.3%</w:t>
      </w:r>
      <w:r w:rsidRPr="00D85265">
        <w:t>，制造业增长</w:t>
      </w:r>
      <w:r w:rsidRPr="00D85265">
        <w:t>5.6%</w:t>
      </w:r>
      <w:r w:rsidRPr="00D85265">
        <w:t>，电力、热力、燃气及水生产和供应业增长</w:t>
      </w:r>
      <w:r w:rsidRPr="00D85265">
        <w:t>9.8%</w:t>
      </w:r>
      <w:r w:rsidRPr="00D85265">
        <w:t>。</w:t>
      </w:r>
      <w:r w:rsidR="00C358A1">
        <w:rPr>
          <w:rFonts w:hint="eastAsia"/>
        </w:rPr>
        <w:t>前</w:t>
      </w:r>
      <w:r w:rsidRPr="00D85265">
        <w:t>11</w:t>
      </w:r>
      <w:r w:rsidR="00C358A1">
        <w:rPr>
          <w:rFonts w:hint="eastAsia"/>
        </w:rPr>
        <w:t>个</w:t>
      </w:r>
      <w:r w:rsidRPr="00D85265">
        <w:t>月全国规模以上工业增加值同比增长</w:t>
      </w:r>
      <w:r w:rsidRPr="00D85265">
        <w:t>6.3%</w:t>
      </w:r>
      <w:r w:rsidRPr="00D85265">
        <w:t>，比</w:t>
      </w:r>
      <w:r w:rsidRPr="00D85265">
        <w:t>1-10</w:t>
      </w:r>
      <w:r w:rsidRPr="00D85265">
        <w:t>月份回落</w:t>
      </w:r>
      <w:r w:rsidRPr="00D85265">
        <w:t>0.1</w:t>
      </w:r>
      <w:r w:rsidRPr="00D85265">
        <w:t>个百分点；其中高技术制造业、装备制造业增加值同比分别增长</w:t>
      </w:r>
      <w:r w:rsidRPr="00D85265">
        <w:t>11.8%</w:t>
      </w:r>
      <w:r w:rsidRPr="00D85265">
        <w:t>和</w:t>
      </w:r>
      <w:r w:rsidRPr="00D85265">
        <w:t>8.3%</w:t>
      </w:r>
      <w:r w:rsidRPr="00D85265">
        <w:t>，分别快于规模以上工业</w:t>
      </w:r>
      <w:r w:rsidRPr="00D85265">
        <w:t>5.5</w:t>
      </w:r>
      <w:r w:rsidRPr="00D85265">
        <w:t>和</w:t>
      </w:r>
      <w:r w:rsidRPr="00D85265">
        <w:t>2.0</w:t>
      </w:r>
      <w:r w:rsidRPr="00D85265">
        <w:t>个百分点。</w:t>
      </w:r>
    </w:p>
    <w:p w14:paraId="5CEB81E3" w14:textId="22E2E213" w:rsidR="00214E9D" w:rsidRDefault="00214E9D" w:rsidP="00AB6C2A">
      <w:pPr>
        <w:spacing w:line="360" w:lineRule="auto"/>
        <w:ind w:firstLine="420"/>
      </w:pPr>
      <w:r>
        <w:rPr>
          <w:rFonts w:hint="eastAsia"/>
        </w:rPr>
        <w:t>部分</w:t>
      </w:r>
      <w:r>
        <w:t>高新技术行业保持较快增</w:t>
      </w:r>
      <w:r>
        <w:rPr>
          <w:rFonts w:hint="eastAsia"/>
        </w:rPr>
        <w:t>长</w:t>
      </w:r>
      <w:r>
        <w:t>，</w:t>
      </w:r>
      <w:r>
        <w:rPr>
          <w:rFonts w:hint="eastAsia"/>
        </w:rPr>
        <w:t>表明</w:t>
      </w:r>
      <w:r>
        <w:t>宏观经济结构处于不断优化过程中。</w:t>
      </w:r>
      <w:r>
        <w:rPr>
          <w:rFonts w:ascii="Times New Roman" w:hAnsi="Times New Roman" w:cs="Times New Roman"/>
          <w:color w:val="333333"/>
        </w:rPr>
        <w:t>11</w:t>
      </w:r>
      <w:r>
        <w:rPr>
          <w:rFonts w:hint="eastAsia"/>
          <w:color w:val="333333"/>
        </w:rPr>
        <w:t>月份专用设备制造业增长</w:t>
      </w:r>
      <w:r>
        <w:rPr>
          <w:rFonts w:ascii="Times New Roman" w:hAnsi="Times New Roman" w:cs="Times New Roman"/>
          <w:color w:val="333333"/>
        </w:rPr>
        <w:t>12.4%</w:t>
      </w:r>
      <w:r>
        <w:rPr>
          <w:rFonts w:hint="eastAsia"/>
          <w:color w:val="333333"/>
        </w:rPr>
        <w:t>，铁路、船舶、航空航天和其他运输设备制造业增长</w:t>
      </w:r>
      <w:r>
        <w:rPr>
          <w:rFonts w:ascii="Times New Roman" w:hAnsi="Times New Roman" w:cs="Times New Roman"/>
          <w:color w:val="333333"/>
        </w:rPr>
        <w:t>12.7%</w:t>
      </w:r>
      <w:r>
        <w:rPr>
          <w:rFonts w:hint="eastAsia"/>
          <w:color w:val="333333"/>
        </w:rPr>
        <w:t>，电气机械和器材制造业增长</w:t>
      </w:r>
      <w:r>
        <w:rPr>
          <w:rFonts w:ascii="Times New Roman" w:hAnsi="Times New Roman" w:cs="Times New Roman"/>
          <w:color w:val="333333"/>
        </w:rPr>
        <w:t>9.0%</w:t>
      </w:r>
      <w:r>
        <w:rPr>
          <w:rFonts w:hint="eastAsia"/>
          <w:color w:val="333333"/>
        </w:rPr>
        <w:t>，计算机、通信和其他电子设备制造业增长</w:t>
      </w:r>
      <w:r>
        <w:rPr>
          <w:rFonts w:ascii="Times New Roman" w:hAnsi="Times New Roman" w:cs="Times New Roman"/>
          <w:color w:val="333333"/>
        </w:rPr>
        <w:t>12.3%</w:t>
      </w:r>
      <w:r>
        <w:rPr>
          <w:rFonts w:hint="eastAsia"/>
          <w:color w:val="333333"/>
        </w:rPr>
        <w:t>。</w:t>
      </w:r>
    </w:p>
    <w:p w14:paraId="1CB25493" w14:textId="70CBE791" w:rsidR="00FE5CAD" w:rsidRPr="00704FAF" w:rsidRDefault="00FE5CAD" w:rsidP="00AB6C2A">
      <w:pPr>
        <w:pStyle w:val="af"/>
        <w:spacing w:line="360" w:lineRule="auto"/>
        <w:rPr>
          <w:sz w:val="28"/>
          <w:szCs w:val="28"/>
        </w:rPr>
      </w:pPr>
      <w:r w:rsidRPr="00704FAF">
        <w:rPr>
          <w:rFonts w:hint="eastAsia"/>
          <w:sz w:val="28"/>
          <w:szCs w:val="28"/>
        </w:rPr>
        <w:t>三</w:t>
      </w:r>
      <w:r w:rsidRPr="00704FAF">
        <w:rPr>
          <w:sz w:val="28"/>
          <w:szCs w:val="28"/>
        </w:rPr>
        <w:t>、</w:t>
      </w:r>
      <w:r w:rsidR="00D85265">
        <w:rPr>
          <w:rFonts w:hint="eastAsia"/>
          <w:sz w:val="28"/>
          <w:szCs w:val="28"/>
        </w:rPr>
        <w:t>外部环境</w:t>
      </w:r>
      <w:r w:rsidR="00D85265">
        <w:rPr>
          <w:sz w:val="28"/>
          <w:szCs w:val="28"/>
        </w:rPr>
        <w:t>是</w:t>
      </w:r>
      <w:r w:rsidR="00D85265">
        <w:rPr>
          <w:rFonts w:hint="eastAsia"/>
          <w:sz w:val="28"/>
          <w:szCs w:val="28"/>
        </w:rPr>
        <w:t>短期</w:t>
      </w:r>
      <w:r w:rsidR="00D85265">
        <w:rPr>
          <w:sz w:val="28"/>
          <w:szCs w:val="28"/>
        </w:rPr>
        <w:t>内影响我国经济的</w:t>
      </w:r>
      <w:r w:rsidR="00D85265">
        <w:rPr>
          <w:rFonts w:hint="eastAsia"/>
          <w:sz w:val="28"/>
          <w:szCs w:val="28"/>
        </w:rPr>
        <w:t>主要</w:t>
      </w:r>
      <w:r w:rsidRPr="00704FAF">
        <w:rPr>
          <w:sz w:val="28"/>
          <w:szCs w:val="28"/>
        </w:rPr>
        <w:t>不确定</w:t>
      </w:r>
      <w:r w:rsidR="00D80B81">
        <w:rPr>
          <w:rFonts w:hint="eastAsia"/>
          <w:sz w:val="28"/>
          <w:szCs w:val="28"/>
        </w:rPr>
        <w:t>因素</w:t>
      </w:r>
    </w:p>
    <w:p w14:paraId="546B1826" w14:textId="7EEA5D2A" w:rsidR="00AD74DC" w:rsidRDefault="00E259DB" w:rsidP="00AB6C2A">
      <w:pPr>
        <w:spacing w:line="360" w:lineRule="auto"/>
        <w:ind w:firstLine="420"/>
        <w:jc w:val="left"/>
      </w:pPr>
      <w:r w:rsidRPr="00E259DB">
        <w:rPr>
          <w:rFonts w:hint="eastAsia"/>
        </w:rPr>
        <w:t>相对</w:t>
      </w:r>
      <w:r w:rsidRPr="00E259DB">
        <w:t>国内因素而言，</w:t>
      </w:r>
      <w:r w:rsidRPr="00E259DB">
        <w:rPr>
          <w:rFonts w:hint="eastAsia"/>
        </w:rPr>
        <w:t>外部环境</w:t>
      </w:r>
      <w:r w:rsidRPr="00E259DB">
        <w:t>是</w:t>
      </w:r>
      <w:r w:rsidRPr="00E259DB">
        <w:rPr>
          <w:rFonts w:hint="eastAsia"/>
        </w:rPr>
        <w:t>短期</w:t>
      </w:r>
      <w:r w:rsidRPr="00E259DB">
        <w:t>内影响我国经济的</w:t>
      </w:r>
      <w:r w:rsidRPr="00E259DB">
        <w:rPr>
          <w:rFonts w:hint="eastAsia"/>
        </w:rPr>
        <w:t>主要</w:t>
      </w:r>
      <w:r w:rsidRPr="00E259DB">
        <w:t>不确定</w:t>
      </w:r>
      <w:r w:rsidRPr="00E259DB">
        <w:rPr>
          <w:rFonts w:hint="eastAsia"/>
        </w:rPr>
        <w:t>因素。</w:t>
      </w:r>
      <w:r w:rsidR="00AD74DC">
        <w:rPr>
          <w:rFonts w:hint="eastAsia"/>
        </w:rPr>
        <w:t>2</w:t>
      </w:r>
      <w:r w:rsidR="00AD74DC">
        <w:t>019</w:t>
      </w:r>
      <w:r w:rsidR="00AD74DC">
        <w:rPr>
          <w:rFonts w:hint="eastAsia"/>
        </w:rPr>
        <w:t>年</w:t>
      </w:r>
      <w:r w:rsidR="00AD74DC">
        <w:t>开局我国经济可能面临更加复杂</w:t>
      </w:r>
      <w:r w:rsidR="00AD74DC">
        <w:rPr>
          <w:rFonts w:hint="eastAsia"/>
        </w:rPr>
        <w:t>和</w:t>
      </w:r>
      <w:r w:rsidR="00AD74DC">
        <w:t>不确定的外部经济环境</w:t>
      </w:r>
      <w:r w:rsidR="00AD74DC">
        <w:rPr>
          <w:rFonts w:hint="eastAsia"/>
        </w:rPr>
        <w:t>。</w:t>
      </w:r>
      <w:r w:rsidR="00AD74DC">
        <w:t>这些</w:t>
      </w:r>
      <w:r w:rsidR="00AD74DC">
        <w:rPr>
          <w:rFonts w:hint="eastAsia"/>
        </w:rPr>
        <w:t>不确定性</w:t>
      </w:r>
      <w:r w:rsidR="00AD74DC">
        <w:t>的来源主要</w:t>
      </w:r>
      <w:r w:rsidR="00AD74DC">
        <w:rPr>
          <w:rFonts w:hint="eastAsia"/>
        </w:rPr>
        <w:t>包括</w:t>
      </w:r>
      <w:r w:rsidR="00AD74DC">
        <w:t>以下几个方面。</w:t>
      </w:r>
    </w:p>
    <w:p w14:paraId="0DC745D1" w14:textId="29EA261B" w:rsidR="00AD74DC" w:rsidRPr="003900AA" w:rsidRDefault="00AD74DC" w:rsidP="00AB6C2A">
      <w:pPr>
        <w:spacing w:line="360" w:lineRule="auto"/>
        <w:ind w:firstLine="420"/>
        <w:rPr>
          <w:rFonts w:ascii="宋体" w:eastAsia="宋体" w:hAnsi="宋体"/>
        </w:rPr>
      </w:pPr>
      <w:r>
        <w:rPr>
          <w:rFonts w:hint="eastAsia"/>
        </w:rPr>
        <w:t>第一</w:t>
      </w:r>
      <w:r>
        <w:t>，中美贸易摩擦谈判的前景。尽管</w:t>
      </w:r>
      <w:r w:rsidR="00A10213">
        <w:rPr>
          <w:rFonts w:hint="eastAsia"/>
        </w:rPr>
        <w:t>中美</w:t>
      </w:r>
      <w:r w:rsidR="00A10213">
        <w:t>两国元首在阿根廷</w:t>
      </w:r>
      <w:r w:rsidR="00A10213">
        <w:t>G20</w:t>
      </w:r>
      <w:r w:rsidR="00A10213">
        <w:rPr>
          <w:rFonts w:hint="eastAsia"/>
        </w:rPr>
        <w:t>峰会</w:t>
      </w:r>
      <w:r w:rsidR="00A10213">
        <w:t>中就</w:t>
      </w:r>
      <w:r w:rsidR="00A10213">
        <w:rPr>
          <w:rFonts w:hint="eastAsia"/>
        </w:rPr>
        <w:t>90</w:t>
      </w:r>
      <w:r w:rsidR="00A10213">
        <w:rPr>
          <w:rFonts w:hint="eastAsia"/>
        </w:rPr>
        <w:t>内</w:t>
      </w:r>
      <w:r w:rsidR="00A10213">
        <w:t>暂停</w:t>
      </w:r>
      <w:r w:rsidR="00A10213">
        <w:rPr>
          <w:rFonts w:hint="eastAsia"/>
        </w:rPr>
        <w:t>互增关税</w:t>
      </w:r>
      <w:r w:rsidR="00A10213">
        <w:t>达成协议，</w:t>
      </w:r>
      <w:r w:rsidR="00A10213">
        <w:rPr>
          <w:rFonts w:hint="eastAsia"/>
        </w:rPr>
        <w:t>但是随着</w:t>
      </w:r>
      <w:r w:rsidR="00A10213">
        <w:t>中美</w:t>
      </w:r>
      <w:r w:rsidR="00A10213">
        <w:rPr>
          <w:rFonts w:hint="eastAsia"/>
        </w:rPr>
        <w:t>经贸</w:t>
      </w:r>
      <w:r w:rsidR="00A10213">
        <w:t>摩擦的不断深入，</w:t>
      </w:r>
      <w:r w:rsidR="003900AA">
        <w:rPr>
          <w:rFonts w:hint="eastAsia"/>
        </w:rPr>
        <w:t>特别是</w:t>
      </w:r>
      <w:r w:rsidR="003900AA">
        <w:t>近日</w:t>
      </w:r>
      <w:r w:rsidR="003900AA">
        <w:rPr>
          <w:rFonts w:hint="eastAsia"/>
        </w:rPr>
        <w:t>华为高管</w:t>
      </w:r>
      <w:r w:rsidR="003900AA">
        <w:t>被捕事件使</w:t>
      </w:r>
      <w:r w:rsidR="00A10213">
        <w:t>各方</w:t>
      </w:r>
      <w:r w:rsidR="003900AA">
        <w:rPr>
          <w:rFonts w:hint="eastAsia"/>
        </w:rPr>
        <w:t>更加</w:t>
      </w:r>
      <w:r w:rsidR="00A10213">
        <w:t>认</w:t>
      </w:r>
      <w:r w:rsidR="003900AA">
        <w:rPr>
          <w:rFonts w:hint="eastAsia"/>
        </w:rPr>
        <w:t>清</w:t>
      </w:r>
      <w:r w:rsidR="00A10213">
        <w:rPr>
          <w:rFonts w:hint="eastAsia"/>
        </w:rPr>
        <w:t>中美</w:t>
      </w:r>
      <w:r w:rsidR="00A10213">
        <w:t>之间的</w:t>
      </w:r>
      <w:r w:rsidR="00A10213">
        <w:rPr>
          <w:rFonts w:hint="eastAsia"/>
        </w:rPr>
        <w:t>经贸摩擦</w:t>
      </w:r>
      <w:r w:rsidR="003900AA">
        <w:rPr>
          <w:rFonts w:hint="eastAsia"/>
        </w:rPr>
        <w:t>的</w:t>
      </w:r>
      <w:r w:rsidR="00A10213">
        <w:t>长期性和复杂性</w:t>
      </w:r>
      <w:r w:rsidR="00A10213">
        <w:rPr>
          <w:rFonts w:hint="eastAsia"/>
        </w:rPr>
        <w:t>。</w:t>
      </w:r>
      <w:r w:rsidR="003900AA">
        <w:rPr>
          <w:rFonts w:hint="eastAsia"/>
        </w:rPr>
        <w:t>中美</w:t>
      </w:r>
      <w:r w:rsidR="00A10213">
        <w:t>双方</w:t>
      </w:r>
      <w:r w:rsidR="003900AA">
        <w:rPr>
          <w:rFonts w:hint="eastAsia"/>
        </w:rPr>
        <w:t>的</w:t>
      </w:r>
      <w:r w:rsidR="00753129">
        <w:rPr>
          <w:rFonts w:hint="eastAsia"/>
        </w:rPr>
        <w:t>经贸</w:t>
      </w:r>
      <w:r w:rsidR="003900AA">
        <w:t>摩擦</w:t>
      </w:r>
      <w:r w:rsidR="003900AA">
        <w:rPr>
          <w:rFonts w:hint="eastAsia"/>
        </w:rPr>
        <w:t>并非局限在</w:t>
      </w:r>
      <w:r w:rsidR="003900AA">
        <w:t>贸易领域，存在向科技、金融等其他领域扩散的倾向，</w:t>
      </w:r>
      <w:r w:rsidR="003900AA">
        <w:rPr>
          <w:rFonts w:hint="eastAsia"/>
        </w:rPr>
        <w:t>在</w:t>
      </w:r>
      <w:r w:rsidR="003900AA">
        <w:t>短短</w:t>
      </w:r>
      <w:r w:rsidR="003900AA">
        <w:rPr>
          <w:rFonts w:hint="eastAsia"/>
        </w:rPr>
        <w:t>90</w:t>
      </w:r>
      <w:r w:rsidR="003900AA">
        <w:rPr>
          <w:rFonts w:hint="eastAsia"/>
        </w:rPr>
        <w:t>天内</w:t>
      </w:r>
      <w:r w:rsidR="003900AA">
        <w:t>彻底解决全部</w:t>
      </w:r>
      <w:r w:rsidR="003900AA">
        <w:rPr>
          <w:rFonts w:hint="eastAsia"/>
        </w:rPr>
        <w:t>经贸问题</w:t>
      </w:r>
      <w:r w:rsidR="003900AA">
        <w:t>的难度极大</w:t>
      </w:r>
      <w:r w:rsidR="003900AA">
        <w:rPr>
          <w:rFonts w:hint="eastAsia"/>
        </w:rPr>
        <w:t>。如果</w:t>
      </w:r>
      <w:r w:rsidR="003900AA">
        <w:t>无法达成协议，美国立即</w:t>
      </w:r>
      <w:r w:rsidR="003900AA">
        <w:rPr>
          <w:rFonts w:hint="eastAsia"/>
        </w:rPr>
        <w:t>对价值</w:t>
      </w:r>
      <w:r w:rsidR="003900AA">
        <w:rPr>
          <w:rFonts w:hint="eastAsia"/>
        </w:rPr>
        <w:t>2000</w:t>
      </w:r>
      <w:r w:rsidR="003900AA">
        <w:rPr>
          <w:rFonts w:hint="eastAsia"/>
        </w:rPr>
        <w:t>亿</w:t>
      </w:r>
      <w:r w:rsidR="003900AA">
        <w:t>美元的中国出口商品关税税率从</w:t>
      </w:r>
      <w:r w:rsidR="003900AA">
        <w:rPr>
          <w:rFonts w:hint="eastAsia"/>
        </w:rPr>
        <w:t>10</w:t>
      </w:r>
      <w:r w:rsidR="003900AA">
        <w:t>%</w:t>
      </w:r>
      <w:r w:rsidR="003900AA">
        <w:t>提升至</w:t>
      </w:r>
      <w:r w:rsidR="003900AA">
        <w:rPr>
          <w:rFonts w:hint="eastAsia"/>
        </w:rPr>
        <w:t>25</w:t>
      </w:r>
      <w:r w:rsidR="003900AA">
        <w:t>%</w:t>
      </w:r>
      <w:r w:rsidR="003900AA">
        <w:t>；即便是双</w:t>
      </w:r>
      <w:r w:rsidR="003900AA">
        <w:rPr>
          <w:rFonts w:hint="eastAsia"/>
        </w:rPr>
        <w:t>方</w:t>
      </w:r>
      <w:r w:rsidR="003900AA">
        <w:t>达成协议，</w:t>
      </w:r>
      <w:r w:rsidR="003900AA">
        <w:rPr>
          <w:rFonts w:hint="eastAsia"/>
        </w:rPr>
        <w:t>对于一个存在</w:t>
      </w:r>
      <w:r w:rsidR="003900AA" w:rsidRPr="003900AA">
        <w:rPr>
          <w:rFonts w:ascii="宋体" w:eastAsia="宋体" w:hAnsi="宋体"/>
        </w:rPr>
        <w:t>“</w:t>
      </w:r>
      <w:r w:rsidR="003900AA" w:rsidRPr="003900AA">
        <w:rPr>
          <w:rFonts w:ascii="宋体" w:eastAsia="宋体" w:hAnsi="宋体" w:hint="eastAsia"/>
        </w:rPr>
        <w:t>退群</w:t>
      </w:r>
      <w:r w:rsidR="003900AA" w:rsidRPr="003900AA">
        <w:rPr>
          <w:rFonts w:ascii="宋体" w:eastAsia="宋体" w:hAnsi="宋体"/>
        </w:rPr>
        <w:t>”</w:t>
      </w:r>
      <w:r w:rsidR="003900AA">
        <w:rPr>
          <w:rFonts w:ascii="宋体" w:eastAsia="宋体" w:hAnsi="宋体" w:hint="eastAsia"/>
        </w:rPr>
        <w:t>偏好</w:t>
      </w:r>
      <w:r w:rsidR="003900AA">
        <w:rPr>
          <w:rFonts w:ascii="宋体" w:eastAsia="宋体" w:hAnsi="宋体"/>
        </w:rPr>
        <w:t>的美国总统，</w:t>
      </w:r>
      <w:r w:rsidR="003900AA">
        <w:rPr>
          <w:rFonts w:ascii="宋体" w:eastAsia="宋体" w:hAnsi="宋体" w:hint="eastAsia"/>
        </w:rPr>
        <w:t>完全实行</w:t>
      </w:r>
      <w:r w:rsidR="003900AA">
        <w:rPr>
          <w:rFonts w:ascii="宋体" w:eastAsia="宋体" w:hAnsi="宋体"/>
        </w:rPr>
        <w:t>协议的概率也要打上折扣。</w:t>
      </w:r>
      <w:r w:rsidR="003900AA">
        <w:rPr>
          <w:rFonts w:ascii="宋体" w:eastAsia="宋体" w:hAnsi="宋体" w:hint="eastAsia"/>
        </w:rPr>
        <w:t>因此</w:t>
      </w:r>
      <w:r w:rsidR="00704FAF">
        <w:rPr>
          <w:rFonts w:ascii="宋体" w:eastAsia="宋体" w:hAnsi="宋体" w:hint="eastAsia"/>
        </w:rPr>
        <w:t>我们</w:t>
      </w:r>
      <w:r w:rsidR="00AF3B7E">
        <w:rPr>
          <w:rFonts w:ascii="宋体" w:eastAsia="宋体" w:hAnsi="宋体" w:hint="eastAsia"/>
        </w:rPr>
        <w:t>不能</w:t>
      </w:r>
      <w:r w:rsidR="00AF3B7E">
        <w:rPr>
          <w:rFonts w:ascii="宋体" w:eastAsia="宋体" w:hAnsi="宋体"/>
        </w:rPr>
        <w:t>忽视未来中美经贸冲突进一步加剧和国际环境进一步恶化的可能，</w:t>
      </w:r>
      <w:r w:rsidR="003900AA">
        <w:rPr>
          <w:rFonts w:ascii="宋体" w:eastAsia="宋体" w:hAnsi="宋体"/>
        </w:rPr>
        <w:t>需要为应对美国方面更严厉的发难做好预案。</w:t>
      </w:r>
    </w:p>
    <w:p w14:paraId="652BD8DB" w14:textId="6E235256" w:rsidR="00976B00" w:rsidRDefault="00AD74DC" w:rsidP="00AB6C2A">
      <w:pPr>
        <w:spacing w:line="360" w:lineRule="auto"/>
        <w:ind w:firstLine="420"/>
        <w:jc w:val="left"/>
      </w:pPr>
      <w:r>
        <w:rPr>
          <w:rFonts w:hint="eastAsia"/>
        </w:rPr>
        <w:t>第二</w:t>
      </w:r>
      <w:r>
        <w:t>，美国</w:t>
      </w:r>
      <w:r w:rsidR="00CE34E2">
        <w:rPr>
          <w:rFonts w:hint="eastAsia"/>
        </w:rPr>
        <w:t>经济</w:t>
      </w:r>
      <w:r w:rsidR="00CE34E2">
        <w:t>前景和</w:t>
      </w:r>
      <w:r>
        <w:t>货币政策正常化路径。</w:t>
      </w:r>
      <w:r w:rsidR="00CE34E2">
        <w:rPr>
          <w:rFonts w:hint="eastAsia"/>
        </w:rPr>
        <w:t>2</w:t>
      </w:r>
      <w:r w:rsidR="00CE34E2">
        <w:t>008</w:t>
      </w:r>
      <w:r w:rsidR="00CE34E2">
        <w:rPr>
          <w:rFonts w:hint="eastAsia"/>
        </w:rPr>
        <w:t>年</w:t>
      </w:r>
      <w:r w:rsidR="00CE34E2">
        <w:t>金融危机之后，美国</w:t>
      </w:r>
      <w:r w:rsidR="00976B00">
        <w:rPr>
          <w:rFonts w:hint="eastAsia"/>
        </w:rPr>
        <w:t>经济</w:t>
      </w:r>
      <w:r w:rsidR="00CE34E2">
        <w:t>在全球范围内率先实现复苏</w:t>
      </w:r>
      <w:r w:rsidR="00976B00">
        <w:rPr>
          <w:rFonts w:hint="eastAsia"/>
        </w:rPr>
        <w:t>并且</w:t>
      </w:r>
      <w:r w:rsidR="00CE34E2">
        <w:rPr>
          <w:rFonts w:hint="eastAsia"/>
        </w:rPr>
        <w:t>开启</w:t>
      </w:r>
      <w:r w:rsidR="00976B00">
        <w:rPr>
          <w:rFonts w:hint="eastAsia"/>
        </w:rPr>
        <w:t>了</w:t>
      </w:r>
      <w:r w:rsidR="00CE34E2">
        <w:t>货币政策正常化</w:t>
      </w:r>
      <w:r w:rsidR="00976B00">
        <w:rPr>
          <w:rFonts w:hint="eastAsia"/>
        </w:rPr>
        <w:t>进程</w:t>
      </w:r>
      <w:r w:rsidR="00976B00">
        <w:t>，</w:t>
      </w:r>
      <w:r w:rsidR="00CE34E2">
        <w:t>美国</w:t>
      </w:r>
      <w:r w:rsidR="00CE34E2">
        <w:rPr>
          <w:rFonts w:hint="eastAsia"/>
        </w:rPr>
        <w:t>股</w:t>
      </w:r>
      <w:r w:rsidR="0074486C">
        <w:rPr>
          <w:rFonts w:hint="eastAsia"/>
        </w:rPr>
        <w:t>指已经</w:t>
      </w:r>
      <w:r w:rsidR="0074486C">
        <w:t>创出</w:t>
      </w:r>
      <w:r w:rsidR="0074486C">
        <w:rPr>
          <w:rFonts w:hint="eastAsia"/>
        </w:rPr>
        <w:t>超过</w:t>
      </w:r>
      <w:r w:rsidR="0074486C">
        <w:t>危机之前</w:t>
      </w:r>
      <w:r w:rsidR="0074486C">
        <w:rPr>
          <w:rFonts w:hint="eastAsia"/>
        </w:rPr>
        <w:t>的</w:t>
      </w:r>
      <w:r w:rsidR="0074486C">
        <w:t>新高。</w:t>
      </w:r>
      <w:r w:rsidR="00976B00">
        <w:t>尽管</w:t>
      </w:r>
      <w:r w:rsidR="00976B00">
        <w:rPr>
          <w:rFonts w:hint="eastAsia"/>
        </w:rPr>
        <w:t>美国</w:t>
      </w:r>
      <w:r w:rsidR="00976B00">
        <w:t>经济近期表现良好，但是越来越多的观察家担心美国经济</w:t>
      </w:r>
      <w:r w:rsidR="00753129">
        <w:t>可能</w:t>
      </w:r>
      <w:r w:rsidR="00976B00">
        <w:t>在</w:t>
      </w:r>
      <w:r w:rsidR="00976B00">
        <w:rPr>
          <w:rFonts w:hint="eastAsia"/>
        </w:rPr>
        <w:t>2019</w:t>
      </w:r>
      <w:r w:rsidR="00976B00">
        <w:rPr>
          <w:rFonts w:hint="eastAsia"/>
        </w:rPr>
        <w:t>年放缓</w:t>
      </w:r>
      <w:r w:rsidR="00976B00">
        <w:t>甚至衰退</w:t>
      </w:r>
      <w:r w:rsidR="00976B00">
        <w:rPr>
          <w:rFonts w:hint="eastAsia"/>
        </w:rPr>
        <w:t>。届时如果</w:t>
      </w:r>
      <w:r w:rsidR="00976B00">
        <w:t>美国经济出现衰退将是近年来世界上两大经济体同时陷入经济下滑的局面，对全球经济复苏的</w:t>
      </w:r>
      <w:r w:rsidR="00976B00">
        <w:rPr>
          <w:rFonts w:hint="eastAsia"/>
        </w:rPr>
        <w:t>负面影响</w:t>
      </w:r>
      <w:r w:rsidR="00976B00">
        <w:t>不可忽视</w:t>
      </w:r>
      <w:r w:rsidR="00976B00">
        <w:rPr>
          <w:rFonts w:hint="eastAsia"/>
        </w:rPr>
        <w:t>。</w:t>
      </w:r>
    </w:p>
    <w:p w14:paraId="563EA2A3" w14:textId="5C1A8DAC" w:rsidR="00AD74DC" w:rsidRDefault="00976B00" w:rsidP="00AB6C2A">
      <w:pPr>
        <w:spacing w:line="360" w:lineRule="auto"/>
        <w:ind w:firstLine="420"/>
      </w:pPr>
      <w:r>
        <w:rPr>
          <w:rFonts w:hint="eastAsia"/>
        </w:rPr>
        <w:t>此外，</w:t>
      </w:r>
      <w:r w:rsidR="00704FAF">
        <w:t>美国国内</w:t>
      </w:r>
      <w:r>
        <w:rPr>
          <w:rFonts w:hint="eastAsia"/>
        </w:rPr>
        <w:t>近期</w:t>
      </w:r>
      <w:r w:rsidR="00704FAF">
        <w:t>经济的微妙变化使得美联储未来加息进程</w:t>
      </w:r>
      <w:r w:rsidR="00704FAF">
        <w:rPr>
          <w:rFonts w:hint="eastAsia"/>
        </w:rPr>
        <w:t>的</w:t>
      </w:r>
      <w:r w:rsidR="00704FAF">
        <w:t>不确定性进一步扩大。</w:t>
      </w:r>
      <w:r w:rsidR="00CE34E2">
        <w:rPr>
          <w:rFonts w:hint="eastAsia"/>
        </w:rPr>
        <w:t>从</w:t>
      </w:r>
      <w:r w:rsidR="00CE34E2">
        <w:t>美国近期公布的最新非农就业数据，消费者价格</w:t>
      </w:r>
      <w:r w:rsidR="00CE34E2">
        <w:rPr>
          <w:rFonts w:hint="eastAsia"/>
        </w:rPr>
        <w:t>数据、</w:t>
      </w:r>
      <w:r w:rsidR="00CE34E2">
        <w:t>金融市场上长期债权与短期债券利</w:t>
      </w:r>
      <w:r w:rsidR="00CE34E2">
        <w:lastRenderedPageBreak/>
        <w:t>率倒挂和美国股市</w:t>
      </w:r>
      <w:r w:rsidR="00CE34E2">
        <w:rPr>
          <w:rFonts w:hint="eastAsia"/>
        </w:rPr>
        <w:t>不断</w:t>
      </w:r>
      <w:r w:rsidR="00CE34E2">
        <w:t>的风险</w:t>
      </w:r>
      <w:r w:rsidR="00CE34E2">
        <w:rPr>
          <w:rFonts w:hint="eastAsia"/>
        </w:rPr>
        <w:t>曝露</w:t>
      </w:r>
      <w:r w:rsidR="00CE34E2">
        <w:t>来看，市场预期美联储可能在</w:t>
      </w:r>
      <w:r w:rsidR="00CE34E2">
        <w:rPr>
          <w:rFonts w:hint="eastAsia"/>
        </w:rPr>
        <w:t>2019</w:t>
      </w:r>
      <w:r w:rsidR="00CE34E2">
        <w:rPr>
          <w:rFonts w:hint="eastAsia"/>
        </w:rPr>
        <w:t>年</w:t>
      </w:r>
      <w:r w:rsidR="00CE34E2">
        <w:t>放缓加息节奏，这对于稳定全球金融市场可能有一定的正面影响。</w:t>
      </w:r>
    </w:p>
    <w:p w14:paraId="1A2289D8" w14:textId="5645639C" w:rsidR="00AD74DC" w:rsidRDefault="00AD74DC" w:rsidP="00AB6C2A">
      <w:pPr>
        <w:spacing w:line="360" w:lineRule="auto"/>
        <w:ind w:firstLine="420"/>
        <w:jc w:val="left"/>
      </w:pPr>
      <w:r>
        <w:rPr>
          <w:rFonts w:hint="eastAsia"/>
        </w:rPr>
        <w:t>第三</w:t>
      </w:r>
      <w:r>
        <w:t>，大宗商品价格。</w:t>
      </w:r>
      <w:r w:rsidR="00BB18ED">
        <w:rPr>
          <w:rFonts w:hint="eastAsia"/>
        </w:rPr>
        <w:t>2019</w:t>
      </w:r>
      <w:r w:rsidR="00BB18ED">
        <w:rPr>
          <w:rFonts w:hint="eastAsia"/>
        </w:rPr>
        <w:t>年</w:t>
      </w:r>
      <w:r w:rsidR="00BB18ED">
        <w:t>世界石油价格的变化是影响中国经济的第三个外部因素。</w:t>
      </w:r>
      <w:r w:rsidR="00BB18ED">
        <w:rPr>
          <w:rFonts w:hint="eastAsia"/>
        </w:rPr>
        <w:t>金融危机</w:t>
      </w:r>
      <w:r w:rsidR="00BB18ED">
        <w:t>之后，世界石油价格经历了过山车般的变化。</w:t>
      </w:r>
      <w:r w:rsidR="00BB18ED">
        <w:rPr>
          <w:rFonts w:hint="eastAsia"/>
        </w:rPr>
        <w:t>近期</w:t>
      </w:r>
      <w:r w:rsidR="00BB18ED">
        <w:t>随着美国重启对伊朗出口石油的制裁、</w:t>
      </w:r>
      <w:r w:rsidR="00BB18ED">
        <w:t>OPEC</w:t>
      </w:r>
      <w:r w:rsidR="00BB18ED">
        <w:rPr>
          <w:rFonts w:hint="eastAsia"/>
        </w:rPr>
        <w:t>等</w:t>
      </w:r>
      <w:r w:rsidR="00BB18ED">
        <w:t>石油出口国酝酿的减产措施以及美国和沙特的关系等等无不影响着未来石油价格的走势。</w:t>
      </w:r>
      <w:r w:rsidR="00BB18ED">
        <w:rPr>
          <w:rFonts w:hint="eastAsia"/>
        </w:rPr>
        <w:t>我国</w:t>
      </w:r>
      <w:r w:rsidR="00BB18ED">
        <w:t>是世界第一大石油进口国</w:t>
      </w:r>
      <w:r w:rsidR="00BB18ED">
        <w:rPr>
          <w:rFonts w:hint="eastAsia"/>
        </w:rPr>
        <w:t>，</w:t>
      </w:r>
      <w:r w:rsidR="00BB18ED">
        <w:t>石油价格上升不仅</w:t>
      </w:r>
      <w:r w:rsidR="00BB18ED">
        <w:rPr>
          <w:rFonts w:hint="eastAsia"/>
        </w:rPr>
        <w:t>直接</w:t>
      </w:r>
      <w:r w:rsidR="00BB18ED">
        <w:t>恶化</w:t>
      </w:r>
      <w:r w:rsidR="00BB18ED">
        <w:rPr>
          <w:rFonts w:hint="eastAsia"/>
        </w:rPr>
        <w:t>我国</w:t>
      </w:r>
      <w:r w:rsidR="00BB18ED">
        <w:t>的贸易条件，并且将对宏观经济复苏</w:t>
      </w:r>
      <w:r w:rsidR="00BB18ED">
        <w:rPr>
          <w:rFonts w:hint="eastAsia"/>
        </w:rPr>
        <w:t>造成不利影响</w:t>
      </w:r>
      <w:r w:rsidR="00BB18ED">
        <w:t>。</w:t>
      </w:r>
      <w:r w:rsidR="00A5092A" w:rsidRPr="00A5092A">
        <w:rPr>
          <w:rFonts w:hint="eastAsia"/>
        </w:rPr>
        <w:t>但是</w:t>
      </w:r>
      <w:r w:rsidR="00A5092A" w:rsidRPr="00A5092A">
        <w:t>从石油价格</w:t>
      </w:r>
      <w:r w:rsidR="00A5092A">
        <w:rPr>
          <w:rFonts w:hint="eastAsia"/>
        </w:rPr>
        <w:t>变化</w:t>
      </w:r>
      <w:r w:rsidR="00A5092A">
        <w:t>的历史经验来看，在</w:t>
      </w:r>
      <w:r w:rsidR="00A5092A">
        <w:rPr>
          <w:rFonts w:hint="eastAsia"/>
        </w:rPr>
        <w:t>全球</w:t>
      </w:r>
      <w:r w:rsidR="00A5092A">
        <w:t>货币供给收紧的情况下</w:t>
      </w:r>
      <w:r w:rsidR="00A5092A">
        <w:rPr>
          <w:rFonts w:hint="eastAsia"/>
        </w:rPr>
        <w:t>，</w:t>
      </w:r>
      <w:r w:rsidR="00A5092A">
        <w:t>即便在供给端发生</w:t>
      </w:r>
      <w:r w:rsidR="00A5092A">
        <w:rPr>
          <w:rFonts w:hint="eastAsia"/>
        </w:rPr>
        <w:t>限</w:t>
      </w:r>
      <w:r w:rsidR="00A5092A">
        <w:t>产甚至</w:t>
      </w:r>
      <w:r w:rsidR="00A5092A">
        <w:rPr>
          <w:rFonts w:hint="eastAsia"/>
        </w:rPr>
        <w:t>由</w:t>
      </w:r>
      <w:r w:rsidR="00A5092A">
        <w:t>局部战争造成的减产，都并不容易形成石油价格的持续上升</w:t>
      </w:r>
      <w:r w:rsidR="00A5092A">
        <w:rPr>
          <w:rFonts w:hint="eastAsia"/>
        </w:rPr>
        <w:t>。</w:t>
      </w:r>
    </w:p>
    <w:p w14:paraId="2CBCCF99" w14:textId="1A557CD9" w:rsidR="00B97CF1" w:rsidRDefault="00B97CF1" w:rsidP="00AB6C2A">
      <w:pPr>
        <w:spacing w:line="360" w:lineRule="auto"/>
      </w:pPr>
      <w:r>
        <w:rPr>
          <w:noProof/>
        </w:rPr>
        <w:drawing>
          <wp:inline distT="0" distB="0" distL="0" distR="0" wp14:anchorId="4B1A6235" wp14:editId="43ED806B">
            <wp:extent cx="2520563" cy="1915795"/>
            <wp:effectExtent l="0" t="0" r="13335" b="825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t xml:space="preserve"> </w:t>
      </w:r>
      <w:r>
        <w:rPr>
          <w:rFonts w:hint="eastAsia"/>
        </w:rPr>
        <w:t xml:space="preserve"> </w:t>
      </w:r>
      <w:r>
        <w:rPr>
          <w:noProof/>
        </w:rPr>
        <w:drawing>
          <wp:inline distT="0" distB="0" distL="0" distR="0" wp14:anchorId="6D57257C" wp14:editId="12EC3DE4">
            <wp:extent cx="2536355" cy="1908175"/>
            <wp:effectExtent l="0" t="0" r="16510" b="1587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ACBF06" w14:textId="13AD4940" w:rsidR="00A84D2D" w:rsidRDefault="00A5092A" w:rsidP="00AB6C2A">
      <w:pPr>
        <w:spacing w:line="360" w:lineRule="auto"/>
        <w:jc w:val="center"/>
      </w:pPr>
      <w:r>
        <w:rPr>
          <w:rFonts w:hint="eastAsia"/>
        </w:rPr>
        <w:t>图</w:t>
      </w:r>
      <w:r>
        <w:rPr>
          <w:rFonts w:hint="eastAsia"/>
        </w:rPr>
        <w:t>13</w:t>
      </w:r>
      <w:r>
        <w:rPr>
          <w:rFonts w:hint="eastAsia"/>
        </w:rPr>
        <w:tab/>
      </w:r>
      <w:r>
        <w:t>1970</w:t>
      </w:r>
      <w:r>
        <w:rPr>
          <w:rFonts w:hint="eastAsia"/>
        </w:rPr>
        <w:t>年代</w:t>
      </w:r>
      <w:r>
        <w:t>以来的石油价格</w:t>
      </w:r>
      <w:r>
        <w:rPr>
          <w:rFonts w:hint="eastAsia"/>
        </w:rPr>
        <w:t>走势</w:t>
      </w:r>
      <w:r>
        <w:t>（</w:t>
      </w:r>
      <w:r>
        <w:rPr>
          <w:rFonts w:hint="eastAsia"/>
        </w:rPr>
        <w:t>美元</w:t>
      </w:r>
      <w:r>
        <w:t>）</w:t>
      </w:r>
    </w:p>
    <w:p w14:paraId="79D5EBE0" w14:textId="77777777" w:rsidR="00B97CF1" w:rsidRDefault="00B97CF1" w:rsidP="00AB6C2A">
      <w:pPr>
        <w:spacing w:line="360" w:lineRule="auto"/>
        <w:ind w:firstLine="420"/>
        <w:jc w:val="left"/>
      </w:pPr>
    </w:p>
    <w:p w14:paraId="0F33A5BB" w14:textId="780D963A" w:rsidR="00FE5CAD" w:rsidRPr="00B86222" w:rsidRDefault="003F3291" w:rsidP="00AB6C2A">
      <w:pPr>
        <w:spacing w:line="360" w:lineRule="auto"/>
        <w:ind w:firstLine="420"/>
      </w:pPr>
      <w:r>
        <w:rPr>
          <w:rFonts w:hint="eastAsia"/>
        </w:rPr>
        <w:t>以上</w:t>
      </w:r>
      <w:r>
        <w:t>三个方面大致描述的</w:t>
      </w:r>
      <w:r w:rsidR="00BF0E6C">
        <w:rPr>
          <w:rFonts w:hint="eastAsia"/>
        </w:rPr>
        <w:t>是</w:t>
      </w:r>
      <w:r>
        <w:t>对我国经济不利的影响。</w:t>
      </w:r>
      <w:r>
        <w:rPr>
          <w:rFonts w:hint="eastAsia"/>
        </w:rPr>
        <w:t>同时</w:t>
      </w:r>
      <w:r>
        <w:t>我们也应该看到对中国经济有利的一面。</w:t>
      </w:r>
      <w:r>
        <w:rPr>
          <w:rFonts w:hint="eastAsia"/>
        </w:rPr>
        <w:t>此次美国发起</w:t>
      </w:r>
      <w:r>
        <w:t>的对中国</w:t>
      </w:r>
      <w:r>
        <w:rPr>
          <w:rFonts w:hint="eastAsia"/>
        </w:rPr>
        <w:t>贸易摩擦（</w:t>
      </w:r>
      <w:r>
        <w:t>包括</w:t>
      </w:r>
      <w:r>
        <w:rPr>
          <w:rFonts w:hint="eastAsia"/>
        </w:rPr>
        <w:t>对</w:t>
      </w:r>
      <w:r>
        <w:t>中国高科技企业的围堵</w:t>
      </w:r>
      <w:r>
        <w:rPr>
          <w:rFonts w:hint="eastAsia"/>
        </w:rPr>
        <w:t>等等）</w:t>
      </w:r>
      <w:r>
        <w:t>和对伊朗等国的贸易制裁所产生的很大一部分成本是由美国的盟友或者其他贸易伙伴来承担的。</w:t>
      </w:r>
      <w:r>
        <w:rPr>
          <w:rFonts w:hint="eastAsia"/>
        </w:rPr>
        <w:t>例如包括</w:t>
      </w:r>
      <w:r>
        <w:t>日本、澳大利亚和新西兰等国家</w:t>
      </w:r>
      <w:r>
        <w:rPr>
          <w:rFonts w:hint="eastAsia"/>
        </w:rPr>
        <w:t>追随</w:t>
      </w:r>
      <w:r>
        <w:t>美国的政策将中国通讯企业排除在</w:t>
      </w:r>
      <w:r>
        <w:rPr>
          <w:rFonts w:hint="eastAsia"/>
        </w:rPr>
        <w:t>5</w:t>
      </w:r>
      <w:r>
        <w:t>G</w:t>
      </w:r>
      <w:r>
        <w:t>市场之外</w:t>
      </w:r>
      <w:r>
        <w:rPr>
          <w:rFonts w:hint="eastAsia"/>
        </w:rPr>
        <w:t>，</w:t>
      </w:r>
      <w:r>
        <w:t>不仅给中国与这些国家的双边贸易发展蒙上了阴影，实际上也给这些国家自身经济的发展造成了不利影响。</w:t>
      </w:r>
      <w:r w:rsidR="00B86222">
        <w:rPr>
          <w:rFonts w:hint="eastAsia"/>
        </w:rPr>
        <w:t>又</w:t>
      </w:r>
      <w:r>
        <w:rPr>
          <w:rFonts w:hint="eastAsia"/>
        </w:rPr>
        <w:t>如</w:t>
      </w:r>
      <w:r>
        <w:t>美国</w:t>
      </w:r>
      <w:r>
        <w:rPr>
          <w:rFonts w:hint="eastAsia"/>
        </w:rPr>
        <w:t>对</w:t>
      </w:r>
      <w:r>
        <w:t>伊朗石油出口</w:t>
      </w:r>
      <w:r w:rsidR="00B86222">
        <w:rPr>
          <w:rFonts w:hint="eastAsia"/>
        </w:rPr>
        <w:t>的</w:t>
      </w:r>
      <w:r w:rsidR="00B86222">
        <w:t>制裁实际上对欧洲经济也会造成</w:t>
      </w:r>
      <w:r w:rsidR="00B86222">
        <w:rPr>
          <w:rFonts w:hint="eastAsia"/>
        </w:rPr>
        <w:t>极大</w:t>
      </w:r>
      <w:r w:rsidR="00B86222">
        <w:t>的负面</w:t>
      </w:r>
      <w:r w:rsidR="00B86222">
        <w:rPr>
          <w:rFonts w:hint="eastAsia"/>
        </w:rPr>
        <w:t>影响。</w:t>
      </w:r>
      <w:r w:rsidR="00B86222">
        <w:t>英国</w:t>
      </w:r>
      <w:r w:rsidR="00B86222">
        <w:rPr>
          <w:rFonts w:hint="eastAsia"/>
        </w:rPr>
        <w:t>脱欧</w:t>
      </w:r>
      <w:r w:rsidR="00B86222">
        <w:t>方案迟迟没有落地，即便双方能实现协议脱欧也</w:t>
      </w:r>
      <w:r w:rsidR="00B86222">
        <w:rPr>
          <w:rFonts w:hint="eastAsia"/>
        </w:rPr>
        <w:t>可能</w:t>
      </w:r>
      <w:r w:rsidR="00B86222">
        <w:t>会对英国和欧盟造成</w:t>
      </w:r>
      <w:r w:rsidR="00B86222">
        <w:rPr>
          <w:rFonts w:hint="eastAsia"/>
        </w:rPr>
        <w:t>“双输”</w:t>
      </w:r>
      <w:r w:rsidR="00B86222">
        <w:t>的局面</w:t>
      </w:r>
      <w:r w:rsidR="00B86222">
        <w:rPr>
          <w:rFonts w:hint="eastAsia"/>
        </w:rPr>
        <w:t>。</w:t>
      </w:r>
      <w:r w:rsidR="00B86222">
        <w:t>在</w:t>
      </w:r>
      <w:r w:rsidR="00B86222">
        <w:rPr>
          <w:rFonts w:hint="eastAsia"/>
        </w:rPr>
        <w:t>全球</w:t>
      </w:r>
      <w:r w:rsidR="00B86222">
        <w:t>经济面临普遍不景气的背景下，</w:t>
      </w:r>
      <w:r w:rsidR="00B86222">
        <w:rPr>
          <w:rFonts w:hint="eastAsia"/>
        </w:rPr>
        <w:t>根据</w:t>
      </w:r>
      <w:r w:rsidR="00B86222" w:rsidRPr="00CE34E2">
        <w:rPr>
          <w:rFonts w:asciiTheme="minorEastAsia" w:hAnsiTheme="minorEastAsia"/>
        </w:rPr>
        <w:t>“</w:t>
      </w:r>
      <w:r w:rsidR="00B86222" w:rsidRPr="00CE34E2">
        <w:rPr>
          <w:rFonts w:asciiTheme="minorEastAsia" w:hAnsiTheme="minorEastAsia" w:hint="eastAsia"/>
        </w:rPr>
        <w:t>木桶</w:t>
      </w:r>
      <w:r w:rsidR="00B86222" w:rsidRPr="00CE34E2">
        <w:rPr>
          <w:rFonts w:asciiTheme="minorEastAsia" w:hAnsiTheme="minorEastAsia"/>
        </w:rPr>
        <w:t>原理”</w:t>
      </w:r>
      <w:r w:rsidR="00B86222">
        <w:rPr>
          <w:rFonts w:hint="eastAsia"/>
        </w:rPr>
        <w:t>，由美国网罗</w:t>
      </w:r>
      <w:r w:rsidR="00B86222">
        <w:t>的</w:t>
      </w:r>
      <w:r w:rsidR="00B86222" w:rsidRPr="00CE34E2">
        <w:rPr>
          <w:rFonts w:asciiTheme="minorEastAsia" w:hAnsiTheme="minorEastAsia"/>
        </w:rPr>
        <w:t>“</w:t>
      </w:r>
      <w:r w:rsidR="00B86222" w:rsidRPr="00CE34E2">
        <w:rPr>
          <w:rFonts w:asciiTheme="minorEastAsia" w:hAnsiTheme="minorEastAsia" w:hint="eastAsia"/>
        </w:rPr>
        <w:t>围堵</w:t>
      </w:r>
      <w:r w:rsidR="00B86222" w:rsidRPr="00CE34E2">
        <w:rPr>
          <w:rFonts w:asciiTheme="minorEastAsia" w:hAnsiTheme="minorEastAsia"/>
        </w:rPr>
        <w:t>”</w:t>
      </w:r>
      <w:r w:rsidR="00B86222">
        <w:rPr>
          <w:rFonts w:hint="eastAsia"/>
        </w:rPr>
        <w:t>中国联盟</w:t>
      </w:r>
      <w:r w:rsidR="00B86222">
        <w:t>将由其最薄弱的环节决定。</w:t>
      </w:r>
      <w:r w:rsidR="00CE34E2">
        <w:rPr>
          <w:rFonts w:hint="eastAsia"/>
        </w:rPr>
        <w:t>西方国家</w:t>
      </w:r>
      <w:r w:rsidR="00CE34E2">
        <w:t>也</w:t>
      </w:r>
      <w:r w:rsidR="00CE34E2">
        <w:rPr>
          <w:rFonts w:hint="eastAsia"/>
        </w:rPr>
        <w:t>面临</w:t>
      </w:r>
      <w:r w:rsidR="00CE34E2">
        <w:t>着严峻的经济下滑压力。</w:t>
      </w:r>
      <w:r w:rsidR="00B86222">
        <w:rPr>
          <w:rFonts w:hint="eastAsia"/>
        </w:rPr>
        <w:t>即便西方发达国家对</w:t>
      </w:r>
      <w:r w:rsidR="00B86222">
        <w:t>中国对方开放有相似的诉求，但是也不是铁板一块，我国仍然可以积极的</w:t>
      </w:r>
      <w:r w:rsidR="00B86222">
        <w:rPr>
          <w:rFonts w:hint="eastAsia"/>
        </w:rPr>
        <w:t>通过</w:t>
      </w:r>
      <w:r w:rsidR="00B86222">
        <w:t>双边和多边的合作寻找</w:t>
      </w:r>
      <w:r w:rsidR="00CE34E2">
        <w:rPr>
          <w:rFonts w:hint="eastAsia"/>
        </w:rPr>
        <w:t>新的</w:t>
      </w:r>
      <w:r w:rsidR="00CE34E2">
        <w:t>机会。</w:t>
      </w:r>
    </w:p>
    <w:p w14:paraId="4B69B6C6" w14:textId="0D838806" w:rsidR="00FE5CAD" w:rsidRDefault="00FE5CAD" w:rsidP="00AB6C2A">
      <w:pPr>
        <w:pStyle w:val="af"/>
        <w:spacing w:line="360" w:lineRule="auto"/>
        <w:rPr>
          <w:sz w:val="28"/>
          <w:szCs w:val="28"/>
        </w:rPr>
      </w:pPr>
      <w:r w:rsidRPr="00704FAF">
        <w:rPr>
          <w:rFonts w:hint="eastAsia"/>
          <w:sz w:val="28"/>
          <w:szCs w:val="28"/>
        </w:rPr>
        <w:lastRenderedPageBreak/>
        <w:t>四</w:t>
      </w:r>
      <w:r w:rsidRPr="00704FAF">
        <w:rPr>
          <w:sz w:val="28"/>
          <w:szCs w:val="28"/>
        </w:rPr>
        <w:t>、</w:t>
      </w:r>
      <w:r w:rsidR="00304240">
        <w:rPr>
          <w:rFonts w:hint="eastAsia"/>
          <w:sz w:val="28"/>
          <w:szCs w:val="28"/>
        </w:rPr>
        <w:t>以</w:t>
      </w:r>
      <w:r w:rsidR="00304240">
        <w:rPr>
          <w:sz w:val="28"/>
          <w:szCs w:val="28"/>
        </w:rPr>
        <w:t>改革稳</w:t>
      </w:r>
      <w:r w:rsidR="00304240">
        <w:rPr>
          <w:rFonts w:hint="eastAsia"/>
          <w:sz w:val="28"/>
          <w:szCs w:val="28"/>
        </w:rPr>
        <w:t>预期</w:t>
      </w:r>
      <w:r w:rsidR="00304240">
        <w:rPr>
          <w:sz w:val="28"/>
          <w:szCs w:val="28"/>
        </w:rPr>
        <w:t>，以改革稳</w:t>
      </w:r>
      <w:r w:rsidR="00304240">
        <w:rPr>
          <w:rFonts w:hint="eastAsia"/>
          <w:sz w:val="28"/>
          <w:szCs w:val="28"/>
        </w:rPr>
        <w:t>增长</w:t>
      </w:r>
    </w:p>
    <w:p w14:paraId="382BE1D1" w14:textId="422E93EC" w:rsidR="00304240" w:rsidRDefault="00304240" w:rsidP="00AB6C2A">
      <w:pPr>
        <w:spacing w:line="360" w:lineRule="auto"/>
        <w:ind w:firstLine="420"/>
        <w:rPr>
          <w:rFonts w:asciiTheme="minorEastAsia" w:hAnsiTheme="minorEastAsia"/>
        </w:rPr>
      </w:pPr>
      <w:r>
        <w:rPr>
          <w:rFonts w:asciiTheme="minorEastAsia" w:hAnsiTheme="minorEastAsia" w:hint="eastAsia"/>
        </w:rPr>
        <w:t>我国</w:t>
      </w:r>
      <w:r>
        <w:rPr>
          <w:rFonts w:asciiTheme="minorEastAsia" w:hAnsiTheme="minorEastAsia"/>
        </w:rPr>
        <w:t>目前经济下滑不仅</w:t>
      </w:r>
      <w:r>
        <w:rPr>
          <w:rFonts w:asciiTheme="minorEastAsia" w:hAnsiTheme="minorEastAsia" w:hint="eastAsia"/>
        </w:rPr>
        <w:t>具有</w:t>
      </w:r>
      <w:r>
        <w:rPr>
          <w:rFonts w:asciiTheme="minorEastAsia" w:hAnsiTheme="minorEastAsia"/>
        </w:rPr>
        <w:t>新常态</w:t>
      </w:r>
      <w:r>
        <w:rPr>
          <w:rFonts w:asciiTheme="minorEastAsia" w:hAnsiTheme="minorEastAsia" w:hint="eastAsia"/>
        </w:rPr>
        <w:t>转型</w:t>
      </w:r>
      <w:r>
        <w:rPr>
          <w:rFonts w:asciiTheme="minorEastAsia" w:hAnsiTheme="minorEastAsia"/>
        </w:rPr>
        <w:t>时期的</w:t>
      </w:r>
      <w:r>
        <w:rPr>
          <w:rFonts w:asciiTheme="minorEastAsia" w:hAnsiTheme="minorEastAsia" w:hint="eastAsia"/>
        </w:rPr>
        <w:t>阶段性</w:t>
      </w:r>
      <w:r>
        <w:rPr>
          <w:rFonts w:asciiTheme="minorEastAsia" w:hAnsiTheme="minorEastAsia"/>
        </w:rPr>
        <w:t>特征，同时也</w:t>
      </w:r>
      <w:r>
        <w:rPr>
          <w:rFonts w:asciiTheme="minorEastAsia" w:hAnsiTheme="minorEastAsia" w:hint="eastAsia"/>
        </w:rPr>
        <w:t>是国际</w:t>
      </w:r>
      <w:r>
        <w:rPr>
          <w:rFonts w:asciiTheme="minorEastAsia" w:hAnsiTheme="minorEastAsia"/>
        </w:rPr>
        <w:t>经济形势变化对消费者和投资者信心造成</w:t>
      </w:r>
      <w:r>
        <w:rPr>
          <w:rFonts w:asciiTheme="minorEastAsia" w:hAnsiTheme="minorEastAsia" w:hint="eastAsia"/>
        </w:rPr>
        <w:t>冲击</w:t>
      </w:r>
      <w:r>
        <w:rPr>
          <w:rFonts w:asciiTheme="minorEastAsia" w:hAnsiTheme="minorEastAsia"/>
        </w:rPr>
        <w:t>的结果。应对</w:t>
      </w:r>
      <w:r>
        <w:rPr>
          <w:rFonts w:asciiTheme="minorEastAsia" w:hAnsiTheme="minorEastAsia" w:hint="eastAsia"/>
        </w:rPr>
        <w:t>目前</w:t>
      </w:r>
      <w:r>
        <w:rPr>
          <w:rFonts w:asciiTheme="minorEastAsia" w:hAnsiTheme="minorEastAsia"/>
        </w:rPr>
        <w:t>的经济形势不仅要有常规的</w:t>
      </w:r>
      <w:r>
        <w:rPr>
          <w:rFonts w:asciiTheme="minorEastAsia" w:hAnsiTheme="minorEastAsia" w:hint="eastAsia"/>
        </w:rPr>
        <w:t>全方位</w:t>
      </w:r>
      <w:r>
        <w:rPr>
          <w:rFonts w:asciiTheme="minorEastAsia" w:hAnsiTheme="minorEastAsia"/>
        </w:rPr>
        <w:t>的经济政策</w:t>
      </w:r>
      <w:r>
        <w:rPr>
          <w:rFonts w:asciiTheme="minorEastAsia" w:hAnsiTheme="minorEastAsia" w:hint="eastAsia"/>
        </w:rPr>
        <w:t>，</w:t>
      </w:r>
      <w:r>
        <w:rPr>
          <w:rFonts w:asciiTheme="minorEastAsia" w:hAnsiTheme="minorEastAsia"/>
        </w:rPr>
        <w:t>更需要从稳定居民和投资者信心着手，稳定</w:t>
      </w:r>
      <w:r>
        <w:rPr>
          <w:rFonts w:asciiTheme="minorEastAsia" w:hAnsiTheme="minorEastAsia" w:hint="eastAsia"/>
        </w:rPr>
        <w:t>国内外</w:t>
      </w:r>
      <w:r>
        <w:rPr>
          <w:rFonts w:asciiTheme="minorEastAsia" w:hAnsiTheme="minorEastAsia"/>
        </w:rPr>
        <w:t>经济主体对未来中国经济的预期。</w:t>
      </w:r>
    </w:p>
    <w:p w14:paraId="0A05F72B" w14:textId="77777777" w:rsidR="00304240" w:rsidRDefault="00304240" w:rsidP="00AB6C2A">
      <w:pPr>
        <w:spacing w:line="360" w:lineRule="auto"/>
        <w:ind w:firstLine="420"/>
        <w:rPr>
          <w:rFonts w:asciiTheme="minorEastAsia" w:hAnsiTheme="minorEastAsia"/>
        </w:rPr>
      </w:pPr>
      <w:r>
        <w:rPr>
          <w:rFonts w:asciiTheme="minorEastAsia" w:hAnsiTheme="minorEastAsia" w:hint="eastAsia"/>
        </w:rPr>
        <w:t>最新公布</w:t>
      </w:r>
      <w:r>
        <w:rPr>
          <w:rFonts w:asciiTheme="minorEastAsia" w:hAnsiTheme="minorEastAsia"/>
        </w:rPr>
        <w:t>的</w:t>
      </w:r>
      <w:r>
        <w:rPr>
          <w:rFonts w:asciiTheme="minorEastAsia" w:hAnsiTheme="minorEastAsia" w:hint="eastAsia"/>
        </w:rPr>
        <w:t>财政</w:t>
      </w:r>
      <w:r>
        <w:rPr>
          <w:rFonts w:asciiTheme="minorEastAsia" w:hAnsiTheme="minorEastAsia"/>
        </w:rPr>
        <w:t>收入数据显示</w:t>
      </w:r>
      <w:r w:rsidRPr="000761B3">
        <w:rPr>
          <w:rFonts w:asciiTheme="minorEastAsia" w:hAnsiTheme="minorEastAsia"/>
        </w:rPr>
        <w:t>11月份全国一般公共预算收入同比下降5.4%</w:t>
      </w:r>
      <w:r>
        <w:rPr>
          <w:rFonts w:asciiTheme="minorEastAsia" w:hAnsiTheme="minorEastAsia" w:hint="eastAsia"/>
        </w:rPr>
        <w:t>，</w:t>
      </w:r>
      <w:r w:rsidRPr="00E7435B">
        <w:rPr>
          <w:rFonts w:asciiTheme="minorEastAsia" w:hAnsiTheme="minorEastAsia"/>
        </w:rPr>
        <w:t>11月份个人所得税同比下降17.3%</w:t>
      </w:r>
      <w:r>
        <w:rPr>
          <w:rFonts w:asciiTheme="minorEastAsia" w:hAnsiTheme="minorEastAsia" w:hint="eastAsia"/>
        </w:rPr>
        <w:t>，</w:t>
      </w:r>
      <w:r>
        <w:rPr>
          <w:rFonts w:asciiTheme="minorEastAsia" w:hAnsiTheme="minorEastAsia"/>
        </w:rPr>
        <w:t>这些都是更加积极的财政政策的表现。</w:t>
      </w:r>
      <w:r>
        <w:rPr>
          <w:rFonts w:asciiTheme="minorEastAsia" w:hAnsiTheme="minorEastAsia" w:hint="eastAsia"/>
        </w:rPr>
        <w:t>同时人民银行</w:t>
      </w:r>
      <w:r>
        <w:rPr>
          <w:rFonts w:asciiTheme="minorEastAsia" w:hAnsiTheme="minorEastAsia"/>
        </w:rPr>
        <w:t>行长易纲也表态在</w:t>
      </w:r>
      <w:r w:rsidRPr="00E7435B">
        <w:rPr>
          <w:rFonts w:asciiTheme="minorEastAsia" w:hAnsiTheme="minorEastAsia"/>
        </w:rPr>
        <w:t>当前中国经济处于下行周期，相对宽松的货币政策是符合当前实际情况的</w:t>
      </w:r>
      <w:r w:rsidRPr="00E7435B">
        <w:rPr>
          <w:rFonts w:asciiTheme="minorEastAsia" w:hAnsiTheme="minorEastAsia" w:hint="eastAsia"/>
        </w:rPr>
        <w:t>。</w:t>
      </w:r>
      <w:r>
        <w:rPr>
          <w:rFonts w:asciiTheme="minorEastAsia" w:hAnsiTheme="minorEastAsia" w:hint="eastAsia"/>
        </w:rPr>
        <w:t>这些</w:t>
      </w:r>
      <w:r>
        <w:rPr>
          <w:rFonts w:asciiTheme="minorEastAsia" w:hAnsiTheme="minorEastAsia"/>
        </w:rPr>
        <w:t>都说明政策制定部门对我国经济</w:t>
      </w:r>
      <w:r>
        <w:rPr>
          <w:rFonts w:asciiTheme="minorEastAsia" w:hAnsiTheme="minorEastAsia" w:hint="eastAsia"/>
        </w:rPr>
        <w:t>的</w:t>
      </w:r>
      <w:r>
        <w:rPr>
          <w:rFonts w:asciiTheme="minorEastAsia" w:hAnsiTheme="minorEastAsia"/>
        </w:rPr>
        <w:t>基本面</w:t>
      </w:r>
      <w:r>
        <w:rPr>
          <w:rFonts w:asciiTheme="minorEastAsia" w:hAnsiTheme="minorEastAsia" w:hint="eastAsia"/>
        </w:rPr>
        <w:t>是有充分</w:t>
      </w:r>
      <w:r>
        <w:rPr>
          <w:rFonts w:asciiTheme="minorEastAsia" w:hAnsiTheme="minorEastAsia"/>
        </w:rPr>
        <w:t>认识的。</w:t>
      </w:r>
    </w:p>
    <w:p w14:paraId="5E14EEB6" w14:textId="3AB59885" w:rsidR="004B485D" w:rsidRDefault="00304240" w:rsidP="00AB6C2A">
      <w:pPr>
        <w:spacing w:line="360" w:lineRule="auto"/>
        <w:ind w:firstLine="420"/>
        <w:rPr>
          <w:rFonts w:asciiTheme="minorEastAsia" w:hAnsiTheme="minorEastAsia"/>
        </w:rPr>
      </w:pPr>
      <w:r>
        <w:rPr>
          <w:rFonts w:asciiTheme="minorEastAsia" w:hAnsiTheme="minorEastAsia" w:hint="eastAsia"/>
        </w:rPr>
        <w:t>在13日刚刚</w:t>
      </w:r>
      <w:r>
        <w:rPr>
          <w:rFonts w:asciiTheme="minorEastAsia" w:hAnsiTheme="minorEastAsia"/>
        </w:rPr>
        <w:t>结束的</w:t>
      </w:r>
      <w:r w:rsidRPr="004B485D">
        <w:rPr>
          <w:rFonts w:asciiTheme="minorEastAsia" w:hAnsiTheme="minorEastAsia" w:hint="eastAsia"/>
        </w:rPr>
        <w:t>中央政治局会</w:t>
      </w:r>
      <w:r>
        <w:rPr>
          <w:rFonts w:asciiTheme="minorEastAsia" w:hAnsiTheme="minorEastAsia" w:hint="eastAsia"/>
        </w:rPr>
        <w:t>上，</w:t>
      </w:r>
      <w:r>
        <w:rPr>
          <w:rFonts w:asciiTheme="minorEastAsia" w:hAnsiTheme="minorEastAsia"/>
        </w:rPr>
        <w:t>中央对</w:t>
      </w:r>
      <w:r>
        <w:rPr>
          <w:rFonts w:asciiTheme="minorEastAsia" w:hAnsiTheme="minorEastAsia" w:hint="eastAsia"/>
        </w:rPr>
        <w:t>2019年</w:t>
      </w:r>
      <w:r>
        <w:rPr>
          <w:rFonts w:asciiTheme="minorEastAsia" w:hAnsiTheme="minorEastAsia"/>
        </w:rPr>
        <w:t>的经济政策确定了基本的基调。</w:t>
      </w:r>
      <w:r>
        <w:rPr>
          <w:rFonts w:asciiTheme="minorEastAsia" w:hAnsiTheme="minorEastAsia" w:hint="eastAsia"/>
        </w:rPr>
        <w:t>2019</w:t>
      </w:r>
      <w:r w:rsidRPr="004B485D">
        <w:rPr>
          <w:rFonts w:asciiTheme="minorEastAsia" w:hAnsiTheme="minorEastAsia" w:hint="eastAsia"/>
        </w:rPr>
        <w:t>年</w:t>
      </w:r>
      <w:r>
        <w:rPr>
          <w:rFonts w:asciiTheme="minorEastAsia" w:hAnsiTheme="minorEastAsia" w:hint="eastAsia"/>
        </w:rPr>
        <w:t>将</w:t>
      </w:r>
      <w:r>
        <w:rPr>
          <w:rFonts w:asciiTheme="minorEastAsia" w:hAnsiTheme="minorEastAsia"/>
        </w:rPr>
        <w:t>继续</w:t>
      </w:r>
      <w:r w:rsidRPr="004B485D">
        <w:rPr>
          <w:rFonts w:asciiTheme="minorEastAsia" w:hAnsiTheme="minorEastAsia" w:hint="eastAsia"/>
        </w:rPr>
        <w:t>坚持深化市场化改革、扩大高水平开放，保持经济运行在合理区间；进一步稳就业、稳金融、稳外贸、稳外资、稳投资、稳预期，提振市场信心。</w:t>
      </w:r>
      <w:r>
        <w:rPr>
          <w:rFonts w:asciiTheme="minorEastAsia" w:hAnsiTheme="minorEastAsia" w:hint="eastAsia"/>
        </w:rPr>
        <w:t>期待</w:t>
      </w:r>
      <w:r w:rsidRPr="00B80F04">
        <w:rPr>
          <w:rFonts w:asciiTheme="minorEastAsia" w:hAnsiTheme="minorEastAsia" w:hint="eastAsia"/>
        </w:rPr>
        <w:t>结合改革开放40周年</w:t>
      </w:r>
      <w:r w:rsidRPr="00B80F04">
        <w:rPr>
          <w:rFonts w:asciiTheme="minorEastAsia" w:hAnsiTheme="minorEastAsia"/>
        </w:rPr>
        <w:t>和明年</w:t>
      </w:r>
      <w:r w:rsidR="00766B36" w:rsidRPr="00766B36">
        <w:rPr>
          <w:rFonts w:asciiTheme="minorEastAsia" w:hAnsiTheme="minorEastAsia" w:hint="eastAsia"/>
        </w:rPr>
        <w:t>中华人民共和国成立70周年</w:t>
      </w:r>
      <w:r w:rsidRPr="00B80F04">
        <w:rPr>
          <w:rFonts w:asciiTheme="minorEastAsia" w:hAnsiTheme="minorEastAsia"/>
        </w:rPr>
        <w:t>，凝聚</w:t>
      </w:r>
      <w:r>
        <w:rPr>
          <w:rFonts w:asciiTheme="minorEastAsia" w:hAnsiTheme="minorEastAsia" w:hint="eastAsia"/>
        </w:rPr>
        <w:t>全国人民</w:t>
      </w:r>
      <w:r w:rsidRPr="00B80F04">
        <w:rPr>
          <w:rFonts w:asciiTheme="minorEastAsia" w:hAnsiTheme="minorEastAsia"/>
        </w:rPr>
        <w:t>贯彻改革开放的共识，</w:t>
      </w:r>
      <w:r w:rsidRPr="00B80F04">
        <w:rPr>
          <w:rFonts w:asciiTheme="minorEastAsia" w:hAnsiTheme="minorEastAsia" w:hint="eastAsia"/>
        </w:rPr>
        <w:t>开创改革开放的</w:t>
      </w:r>
      <w:r w:rsidRPr="00B80F04">
        <w:rPr>
          <w:rFonts w:asciiTheme="minorEastAsia" w:hAnsiTheme="minorEastAsia"/>
        </w:rPr>
        <w:t>新局面</w:t>
      </w:r>
      <w:r w:rsidRPr="00B80F04">
        <w:rPr>
          <w:rFonts w:asciiTheme="minorEastAsia" w:hAnsiTheme="minorEastAsia" w:hint="eastAsia"/>
        </w:rPr>
        <w:t>。</w:t>
      </w:r>
    </w:p>
    <w:p w14:paraId="63254BCE" w14:textId="3836B741" w:rsidR="000761B3" w:rsidRPr="004B485D" w:rsidRDefault="000761B3" w:rsidP="00AB6C2A">
      <w:pPr>
        <w:spacing w:line="360" w:lineRule="auto"/>
        <w:ind w:firstLine="420"/>
        <w:rPr>
          <w:rFonts w:asciiTheme="minorEastAsia" w:hAnsiTheme="minorEastAsia"/>
        </w:rPr>
      </w:pPr>
    </w:p>
    <w:sectPr w:rsidR="000761B3" w:rsidRPr="004B485D">
      <w:footerReference w:type="default" r:id="rId2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E64B" w14:textId="77777777" w:rsidR="00A058A3" w:rsidRDefault="00A058A3" w:rsidP="002A00AE">
      <w:r>
        <w:separator/>
      </w:r>
    </w:p>
  </w:endnote>
  <w:endnote w:type="continuationSeparator" w:id="0">
    <w:p w14:paraId="040F4EDF" w14:textId="77777777" w:rsidR="00A058A3" w:rsidRDefault="00A058A3" w:rsidP="002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140935"/>
      <w:docPartObj>
        <w:docPartGallery w:val="Page Numbers (Bottom of Page)"/>
        <w:docPartUnique/>
      </w:docPartObj>
    </w:sdtPr>
    <w:sdtContent>
      <w:p w14:paraId="5E9D9EAD" w14:textId="427B53F2" w:rsidR="008A2ACC" w:rsidRDefault="008A2ACC">
        <w:pPr>
          <w:pStyle w:val="a5"/>
          <w:jc w:val="center"/>
        </w:pPr>
        <w:r>
          <w:fldChar w:fldCharType="begin"/>
        </w:r>
        <w:r>
          <w:instrText>PAGE   \* MERGEFORMAT</w:instrText>
        </w:r>
        <w:r>
          <w:fldChar w:fldCharType="separate"/>
        </w:r>
        <w:r w:rsidR="00122FA1" w:rsidRPr="00122FA1">
          <w:rPr>
            <w:noProof/>
            <w:lang w:val="zh-CN"/>
          </w:rPr>
          <w:t>6</w:t>
        </w:r>
        <w:r>
          <w:fldChar w:fldCharType="end"/>
        </w:r>
      </w:p>
    </w:sdtContent>
  </w:sdt>
  <w:p w14:paraId="30AB091C" w14:textId="77777777" w:rsidR="008A2ACC" w:rsidRDefault="008A2A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79110" w14:textId="77777777" w:rsidR="00A058A3" w:rsidRDefault="00A058A3" w:rsidP="002A00AE">
      <w:r>
        <w:separator/>
      </w:r>
    </w:p>
  </w:footnote>
  <w:footnote w:type="continuationSeparator" w:id="0">
    <w:p w14:paraId="7B490539" w14:textId="77777777" w:rsidR="00A058A3" w:rsidRDefault="00A058A3" w:rsidP="002A00AE">
      <w:r>
        <w:continuationSeparator/>
      </w:r>
    </w:p>
  </w:footnote>
  <w:footnote w:id="1">
    <w:p w14:paraId="7438548A" w14:textId="408EDCF0" w:rsidR="0054611E" w:rsidRPr="001D549B" w:rsidRDefault="0054611E" w:rsidP="0054611E">
      <w:pPr>
        <w:pStyle w:val="af1"/>
        <w:rPr>
          <w:rFonts w:ascii="Times New Roman" w:hAnsi="Times New Roman"/>
        </w:rPr>
      </w:pPr>
      <w:r w:rsidRPr="001D549B">
        <w:rPr>
          <w:rStyle w:val="af3"/>
          <w:rFonts w:ascii="Times New Roman" w:hAnsi="Times New Roman"/>
        </w:rPr>
        <w:t>*</w:t>
      </w:r>
      <w:r w:rsidRPr="001D549B">
        <w:rPr>
          <w:rFonts w:ascii="Times New Roman" w:hAnsi="Times New Roman"/>
        </w:rPr>
        <w:t xml:space="preserve"> </w:t>
      </w:r>
      <w:r w:rsidRPr="001D549B">
        <w:rPr>
          <w:rFonts w:ascii="Times New Roman" w:hAnsi="Times New Roman"/>
        </w:rPr>
        <w:t>本报告为中国人民大学</w:t>
      </w:r>
      <w:r w:rsidRPr="001D549B">
        <w:rPr>
          <w:rFonts w:ascii="Times New Roman" w:hAnsi="Times New Roman"/>
        </w:rPr>
        <w:t>“</w:t>
      </w:r>
      <w:r w:rsidRPr="001D549B">
        <w:rPr>
          <w:rFonts w:ascii="Times New Roman" w:hAnsi="Times New Roman"/>
        </w:rPr>
        <w:t>中国宏观经济论坛</w:t>
      </w:r>
      <w:r w:rsidRPr="001D549B">
        <w:rPr>
          <w:rFonts w:ascii="Times New Roman" w:hAnsi="Times New Roman"/>
        </w:rPr>
        <w:t>”</w:t>
      </w:r>
      <w:r w:rsidRPr="001D549B">
        <w:rPr>
          <w:rFonts w:ascii="Times New Roman" w:hAnsi="Times New Roman"/>
        </w:rPr>
        <w:t>团队集体研究成果，执笔人为</w:t>
      </w:r>
      <w:r>
        <w:rPr>
          <w:rFonts w:ascii="Times New Roman" w:hAnsi="Times New Roman" w:hint="eastAsia"/>
        </w:rPr>
        <w:t>范志勇</w:t>
      </w:r>
      <w:r w:rsidRPr="001D549B">
        <w:rPr>
          <w:rFonts w:ascii="Times New Roman" w:hAnsi="Times New Roman"/>
        </w:rPr>
        <w:t>。本报告基础数据来自中国宏观经济论坛、国家统计局、</w:t>
      </w:r>
      <w:r w:rsidRPr="001D549B">
        <w:rPr>
          <w:rFonts w:ascii="Times New Roman" w:hAnsi="Times New Roman"/>
        </w:rPr>
        <w:t>Wind</w:t>
      </w:r>
      <w:r w:rsidRPr="001D549B">
        <w:rPr>
          <w:rFonts w:ascii="Times New Roman" w:hAnsi="Times New Roman"/>
        </w:rPr>
        <w:t>数据库。本报告为初步研究成果，欢迎讨论和批评意见。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17BE8"/>
    <w:multiLevelType w:val="hybridMultilevel"/>
    <w:tmpl w:val="67ACC400"/>
    <w:lvl w:ilvl="0" w:tplc="13DE9A2E">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3132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48E9"/>
    <w:rsid w:val="00000F96"/>
    <w:rsid w:val="00010846"/>
    <w:rsid w:val="00057C0D"/>
    <w:rsid w:val="0006212A"/>
    <w:rsid w:val="000761B3"/>
    <w:rsid w:val="00080503"/>
    <w:rsid w:val="00084540"/>
    <w:rsid w:val="00085B36"/>
    <w:rsid w:val="000A0A00"/>
    <w:rsid w:val="000B0024"/>
    <w:rsid w:val="000B05ED"/>
    <w:rsid w:val="000D2B01"/>
    <w:rsid w:val="000D4C13"/>
    <w:rsid w:val="001025A9"/>
    <w:rsid w:val="00122FA1"/>
    <w:rsid w:val="0015080D"/>
    <w:rsid w:val="00176D95"/>
    <w:rsid w:val="0018223F"/>
    <w:rsid w:val="001B6D3F"/>
    <w:rsid w:val="00214E9D"/>
    <w:rsid w:val="0023541F"/>
    <w:rsid w:val="00294B4D"/>
    <w:rsid w:val="002A00AE"/>
    <w:rsid w:val="00304240"/>
    <w:rsid w:val="00313679"/>
    <w:rsid w:val="003176D9"/>
    <w:rsid w:val="003900AA"/>
    <w:rsid w:val="003B7114"/>
    <w:rsid w:val="003D05D6"/>
    <w:rsid w:val="003F3291"/>
    <w:rsid w:val="003F476B"/>
    <w:rsid w:val="004008AF"/>
    <w:rsid w:val="00425E3A"/>
    <w:rsid w:val="00432A78"/>
    <w:rsid w:val="0044120C"/>
    <w:rsid w:val="00441F92"/>
    <w:rsid w:val="004744B0"/>
    <w:rsid w:val="0048301C"/>
    <w:rsid w:val="004A2479"/>
    <w:rsid w:val="004A7BAB"/>
    <w:rsid w:val="004B485D"/>
    <w:rsid w:val="004C7E46"/>
    <w:rsid w:val="004E0F7C"/>
    <w:rsid w:val="00512980"/>
    <w:rsid w:val="0054611E"/>
    <w:rsid w:val="00567B44"/>
    <w:rsid w:val="00571827"/>
    <w:rsid w:val="005B7BF6"/>
    <w:rsid w:val="005C74A4"/>
    <w:rsid w:val="005D53DA"/>
    <w:rsid w:val="00632E53"/>
    <w:rsid w:val="006771AF"/>
    <w:rsid w:val="00682630"/>
    <w:rsid w:val="00693A5D"/>
    <w:rsid w:val="006B5AD0"/>
    <w:rsid w:val="006D2DF8"/>
    <w:rsid w:val="006F12D6"/>
    <w:rsid w:val="00702368"/>
    <w:rsid w:val="00704FAF"/>
    <w:rsid w:val="007177C5"/>
    <w:rsid w:val="0074486C"/>
    <w:rsid w:val="00753129"/>
    <w:rsid w:val="0076687B"/>
    <w:rsid w:val="00766B36"/>
    <w:rsid w:val="0078448C"/>
    <w:rsid w:val="007C2D41"/>
    <w:rsid w:val="007E0B26"/>
    <w:rsid w:val="007F2BF9"/>
    <w:rsid w:val="0082440C"/>
    <w:rsid w:val="00830A16"/>
    <w:rsid w:val="008411A6"/>
    <w:rsid w:val="00884FF6"/>
    <w:rsid w:val="00897F71"/>
    <w:rsid w:val="008A2ACC"/>
    <w:rsid w:val="008D0EE2"/>
    <w:rsid w:val="009043C1"/>
    <w:rsid w:val="00907463"/>
    <w:rsid w:val="00914B26"/>
    <w:rsid w:val="009217B3"/>
    <w:rsid w:val="00925B91"/>
    <w:rsid w:val="00953BA4"/>
    <w:rsid w:val="00976B00"/>
    <w:rsid w:val="009948E9"/>
    <w:rsid w:val="009B62E2"/>
    <w:rsid w:val="00A058A3"/>
    <w:rsid w:val="00A10213"/>
    <w:rsid w:val="00A11E41"/>
    <w:rsid w:val="00A45C67"/>
    <w:rsid w:val="00A5092A"/>
    <w:rsid w:val="00A5391B"/>
    <w:rsid w:val="00A729D1"/>
    <w:rsid w:val="00A84D2D"/>
    <w:rsid w:val="00A8576D"/>
    <w:rsid w:val="00AB6C2A"/>
    <w:rsid w:val="00AD10E8"/>
    <w:rsid w:val="00AD74DC"/>
    <w:rsid w:val="00AF365E"/>
    <w:rsid w:val="00AF3B7E"/>
    <w:rsid w:val="00AF4EAA"/>
    <w:rsid w:val="00B229F5"/>
    <w:rsid w:val="00B80F04"/>
    <w:rsid w:val="00B82CDC"/>
    <w:rsid w:val="00B86222"/>
    <w:rsid w:val="00B8679C"/>
    <w:rsid w:val="00B86ABA"/>
    <w:rsid w:val="00B94B85"/>
    <w:rsid w:val="00B96C6C"/>
    <w:rsid w:val="00B97CF1"/>
    <w:rsid w:val="00BB18ED"/>
    <w:rsid w:val="00BB2505"/>
    <w:rsid w:val="00BF04AD"/>
    <w:rsid w:val="00BF0E6C"/>
    <w:rsid w:val="00BF7521"/>
    <w:rsid w:val="00C106A9"/>
    <w:rsid w:val="00C358A1"/>
    <w:rsid w:val="00C802FA"/>
    <w:rsid w:val="00CA15E3"/>
    <w:rsid w:val="00CE34E2"/>
    <w:rsid w:val="00D27FD8"/>
    <w:rsid w:val="00D80B81"/>
    <w:rsid w:val="00D85265"/>
    <w:rsid w:val="00D923AD"/>
    <w:rsid w:val="00DD3F44"/>
    <w:rsid w:val="00DF12A8"/>
    <w:rsid w:val="00E07D5E"/>
    <w:rsid w:val="00E259DB"/>
    <w:rsid w:val="00E466CB"/>
    <w:rsid w:val="00E7435B"/>
    <w:rsid w:val="00E7756B"/>
    <w:rsid w:val="00E95674"/>
    <w:rsid w:val="00EC05EF"/>
    <w:rsid w:val="00EC43BA"/>
    <w:rsid w:val="00EE570F"/>
    <w:rsid w:val="00EF5913"/>
    <w:rsid w:val="00F07933"/>
    <w:rsid w:val="00F31541"/>
    <w:rsid w:val="00FB044D"/>
    <w:rsid w:val="00FB50D7"/>
    <w:rsid w:val="00FC1FA4"/>
    <w:rsid w:val="00FE5CAD"/>
    <w:rsid w:val="00FF3BF8"/>
    <w:rsid w:val="00FF7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B8A7B"/>
  <w15:docId w15:val="{F2C720EF-B42D-F241-ADE4-B94A682F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0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00AE"/>
    <w:rPr>
      <w:sz w:val="18"/>
      <w:szCs w:val="18"/>
    </w:rPr>
  </w:style>
  <w:style w:type="paragraph" w:styleId="a5">
    <w:name w:val="footer"/>
    <w:basedOn w:val="a"/>
    <w:link w:val="a6"/>
    <w:uiPriority w:val="99"/>
    <w:unhideWhenUsed/>
    <w:rsid w:val="002A00AE"/>
    <w:pPr>
      <w:tabs>
        <w:tab w:val="center" w:pos="4153"/>
        <w:tab w:val="right" w:pos="8306"/>
      </w:tabs>
      <w:snapToGrid w:val="0"/>
      <w:jc w:val="left"/>
    </w:pPr>
    <w:rPr>
      <w:sz w:val="18"/>
      <w:szCs w:val="18"/>
    </w:rPr>
  </w:style>
  <w:style w:type="character" w:customStyle="1" w:styleId="a6">
    <w:name w:val="页脚 字符"/>
    <w:basedOn w:val="a0"/>
    <w:link w:val="a5"/>
    <w:uiPriority w:val="99"/>
    <w:rsid w:val="002A00AE"/>
    <w:rPr>
      <w:sz w:val="18"/>
      <w:szCs w:val="18"/>
    </w:rPr>
  </w:style>
  <w:style w:type="paragraph" w:styleId="a7">
    <w:name w:val="List Paragraph"/>
    <w:basedOn w:val="a"/>
    <w:uiPriority w:val="34"/>
    <w:qFormat/>
    <w:rsid w:val="002A00AE"/>
    <w:pPr>
      <w:ind w:firstLineChars="200" w:firstLine="420"/>
    </w:pPr>
  </w:style>
  <w:style w:type="character" w:styleId="a8">
    <w:name w:val="annotation reference"/>
    <w:basedOn w:val="a0"/>
    <w:uiPriority w:val="99"/>
    <w:semiHidden/>
    <w:unhideWhenUsed/>
    <w:rsid w:val="0044120C"/>
    <w:rPr>
      <w:sz w:val="21"/>
      <w:szCs w:val="21"/>
    </w:rPr>
  </w:style>
  <w:style w:type="paragraph" w:styleId="a9">
    <w:name w:val="annotation text"/>
    <w:basedOn w:val="a"/>
    <w:link w:val="aa"/>
    <w:uiPriority w:val="99"/>
    <w:semiHidden/>
    <w:unhideWhenUsed/>
    <w:rsid w:val="0044120C"/>
    <w:pPr>
      <w:jc w:val="left"/>
    </w:pPr>
  </w:style>
  <w:style w:type="character" w:customStyle="1" w:styleId="aa">
    <w:name w:val="批注文字 字符"/>
    <w:basedOn w:val="a0"/>
    <w:link w:val="a9"/>
    <w:uiPriority w:val="99"/>
    <w:semiHidden/>
    <w:rsid w:val="0044120C"/>
  </w:style>
  <w:style w:type="paragraph" w:styleId="ab">
    <w:name w:val="annotation subject"/>
    <w:basedOn w:val="a9"/>
    <w:next w:val="a9"/>
    <w:link w:val="ac"/>
    <w:uiPriority w:val="99"/>
    <w:semiHidden/>
    <w:unhideWhenUsed/>
    <w:rsid w:val="0044120C"/>
    <w:rPr>
      <w:b/>
      <w:bCs/>
    </w:rPr>
  </w:style>
  <w:style w:type="character" w:customStyle="1" w:styleId="ac">
    <w:name w:val="批注主题 字符"/>
    <w:basedOn w:val="aa"/>
    <w:link w:val="ab"/>
    <w:uiPriority w:val="99"/>
    <w:semiHidden/>
    <w:rsid w:val="0044120C"/>
    <w:rPr>
      <w:b/>
      <w:bCs/>
    </w:rPr>
  </w:style>
  <w:style w:type="paragraph" w:styleId="ad">
    <w:name w:val="Balloon Text"/>
    <w:basedOn w:val="a"/>
    <w:link w:val="ae"/>
    <w:uiPriority w:val="99"/>
    <w:semiHidden/>
    <w:unhideWhenUsed/>
    <w:rsid w:val="0044120C"/>
    <w:rPr>
      <w:sz w:val="18"/>
      <w:szCs w:val="18"/>
    </w:rPr>
  </w:style>
  <w:style w:type="character" w:customStyle="1" w:styleId="ae">
    <w:name w:val="批注框文本 字符"/>
    <w:basedOn w:val="a0"/>
    <w:link w:val="ad"/>
    <w:uiPriority w:val="99"/>
    <w:semiHidden/>
    <w:rsid w:val="0044120C"/>
    <w:rPr>
      <w:sz w:val="18"/>
      <w:szCs w:val="18"/>
    </w:rPr>
  </w:style>
  <w:style w:type="paragraph" w:styleId="af">
    <w:name w:val="Title"/>
    <w:basedOn w:val="a"/>
    <w:next w:val="a"/>
    <w:link w:val="af0"/>
    <w:uiPriority w:val="10"/>
    <w:qFormat/>
    <w:rsid w:val="00704FAF"/>
    <w:pPr>
      <w:spacing w:before="240" w:after="60"/>
      <w:jc w:val="center"/>
      <w:outlineLvl w:val="0"/>
    </w:pPr>
    <w:rPr>
      <w:rFonts w:asciiTheme="majorHAnsi" w:eastAsia="宋体" w:hAnsiTheme="majorHAnsi" w:cstheme="majorBidi"/>
      <w:b/>
      <w:bCs/>
      <w:sz w:val="32"/>
      <w:szCs w:val="32"/>
    </w:rPr>
  </w:style>
  <w:style w:type="character" w:customStyle="1" w:styleId="af0">
    <w:name w:val="标题 字符"/>
    <w:basedOn w:val="a0"/>
    <w:link w:val="af"/>
    <w:uiPriority w:val="10"/>
    <w:rsid w:val="00704FAF"/>
    <w:rPr>
      <w:rFonts w:asciiTheme="majorHAnsi" w:eastAsia="宋体" w:hAnsiTheme="majorHAnsi" w:cstheme="majorBidi"/>
      <w:b/>
      <w:bCs/>
      <w:sz w:val="32"/>
      <w:szCs w:val="32"/>
    </w:rPr>
  </w:style>
  <w:style w:type="paragraph" w:styleId="af1">
    <w:name w:val="footnote text"/>
    <w:aliases w:val="Footnote Text Char Char Char Char,Footnote Text Char Char Char,Footnote Text Char Char"/>
    <w:basedOn w:val="a"/>
    <w:link w:val="af2"/>
    <w:uiPriority w:val="99"/>
    <w:unhideWhenUsed/>
    <w:rsid w:val="000B0024"/>
    <w:pPr>
      <w:snapToGrid w:val="0"/>
      <w:jc w:val="left"/>
    </w:pPr>
    <w:rPr>
      <w:rFonts w:ascii="Calibri" w:eastAsia="宋体" w:hAnsi="Calibri" w:cs="Times New Roman"/>
      <w:sz w:val="18"/>
      <w:szCs w:val="18"/>
    </w:rPr>
  </w:style>
  <w:style w:type="character" w:customStyle="1" w:styleId="af2">
    <w:name w:val="脚注文本 字符"/>
    <w:aliases w:val="Footnote Text Char Char Char Char 字符,Footnote Text Char Char Char 字符,Footnote Text Char Char 字符"/>
    <w:basedOn w:val="a0"/>
    <w:link w:val="af1"/>
    <w:uiPriority w:val="99"/>
    <w:rsid w:val="000B0024"/>
    <w:rPr>
      <w:rFonts w:ascii="Calibri" w:eastAsia="宋体" w:hAnsi="Calibri" w:cs="Times New Roman"/>
      <w:sz w:val="18"/>
      <w:szCs w:val="18"/>
    </w:rPr>
  </w:style>
  <w:style w:type="character" w:styleId="af3">
    <w:name w:val="footnote reference"/>
    <w:uiPriority w:val="99"/>
    <w:unhideWhenUsed/>
    <w:rsid w:val="000B00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345399">
      <w:bodyDiv w:val="1"/>
      <w:marLeft w:val="0"/>
      <w:marRight w:val="0"/>
      <w:marTop w:val="0"/>
      <w:marBottom w:val="0"/>
      <w:divBdr>
        <w:top w:val="none" w:sz="0" w:space="0" w:color="auto"/>
        <w:left w:val="none" w:sz="0" w:space="0" w:color="auto"/>
        <w:bottom w:val="none" w:sz="0" w:space="0" w:color="auto"/>
        <w:right w:val="none" w:sz="0" w:space="0" w:color="auto"/>
      </w:divBdr>
      <w:divsChild>
        <w:div w:id="391779798">
          <w:marLeft w:val="0"/>
          <w:marRight w:val="0"/>
          <w:marTop w:val="0"/>
          <w:marBottom w:val="0"/>
          <w:divBdr>
            <w:top w:val="none" w:sz="0" w:space="0" w:color="auto"/>
            <w:left w:val="none" w:sz="0" w:space="0" w:color="auto"/>
            <w:bottom w:val="none" w:sz="0" w:space="0" w:color="auto"/>
            <w:right w:val="none" w:sz="0" w:space="0" w:color="auto"/>
          </w:divBdr>
          <w:divsChild>
            <w:div w:id="1562013841">
              <w:marLeft w:val="0"/>
              <w:marRight w:val="0"/>
              <w:marTop w:val="0"/>
              <w:marBottom w:val="0"/>
              <w:divBdr>
                <w:top w:val="none" w:sz="0" w:space="0" w:color="auto"/>
                <w:left w:val="none" w:sz="0" w:space="0" w:color="auto"/>
                <w:bottom w:val="none" w:sz="0" w:space="0" w:color="auto"/>
                <w:right w:val="none" w:sz="0" w:space="0" w:color="auto"/>
              </w:divBdr>
              <w:divsChild>
                <w:div w:id="196312248">
                  <w:marLeft w:val="0"/>
                  <w:marRight w:val="0"/>
                  <w:marTop w:val="150"/>
                  <w:marBottom w:val="0"/>
                  <w:divBdr>
                    <w:top w:val="none" w:sz="0" w:space="0" w:color="auto"/>
                    <w:left w:val="none" w:sz="0" w:space="0" w:color="auto"/>
                    <w:bottom w:val="none" w:sz="0" w:space="0" w:color="auto"/>
                    <w:right w:val="none" w:sz="0" w:space="0" w:color="auto"/>
                  </w:divBdr>
                  <w:divsChild>
                    <w:div w:id="989551916">
                      <w:marLeft w:val="0"/>
                      <w:marRight w:val="0"/>
                      <w:marTop w:val="375"/>
                      <w:marBottom w:val="0"/>
                      <w:divBdr>
                        <w:top w:val="none" w:sz="0" w:space="0" w:color="auto"/>
                        <w:left w:val="none" w:sz="0" w:space="0" w:color="auto"/>
                        <w:bottom w:val="none" w:sz="0" w:space="0" w:color="auto"/>
                        <w:right w:val="none" w:sz="0" w:space="0" w:color="auto"/>
                      </w:divBdr>
                      <w:divsChild>
                        <w:div w:id="2043363160">
                          <w:marLeft w:val="0"/>
                          <w:marRight w:val="0"/>
                          <w:marTop w:val="0"/>
                          <w:marBottom w:val="0"/>
                          <w:divBdr>
                            <w:top w:val="none" w:sz="0" w:space="0" w:color="auto"/>
                            <w:left w:val="none" w:sz="0" w:space="0" w:color="auto"/>
                            <w:bottom w:val="none" w:sz="0" w:space="0" w:color="auto"/>
                            <w:right w:val="none" w:sz="0" w:space="0" w:color="auto"/>
                          </w:divBdr>
                          <w:divsChild>
                            <w:div w:id="58997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981949">
      <w:bodyDiv w:val="1"/>
      <w:marLeft w:val="0"/>
      <w:marRight w:val="0"/>
      <w:marTop w:val="0"/>
      <w:marBottom w:val="0"/>
      <w:divBdr>
        <w:top w:val="none" w:sz="0" w:space="0" w:color="auto"/>
        <w:left w:val="none" w:sz="0" w:space="0" w:color="auto"/>
        <w:bottom w:val="none" w:sz="0" w:space="0" w:color="auto"/>
        <w:right w:val="none" w:sz="0" w:space="0" w:color="auto"/>
      </w:divBdr>
      <w:divsChild>
        <w:div w:id="1509255203">
          <w:marLeft w:val="0"/>
          <w:marRight w:val="0"/>
          <w:marTop w:val="600"/>
          <w:marBottom w:val="0"/>
          <w:divBdr>
            <w:top w:val="none" w:sz="0" w:space="0" w:color="auto"/>
            <w:left w:val="none" w:sz="0" w:space="0" w:color="auto"/>
            <w:bottom w:val="none" w:sz="0" w:space="0" w:color="auto"/>
            <w:right w:val="none" w:sz="0" w:space="0" w:color="auto"/>
          </w:divBdr>
        </w:div>
        <w:div w:id="929699951">
          <w:marLeft w:val="0"/>
          <w:marRight w:val="0"/>
          <w:marTop w:val="600"/>
          <w:marBottom w:val="0"/>
          <w:divBdr>
            <w:top w:val="none" w:sz="0" w:space="0" w:color="auto"/>
            <w:left w:val="none" w:sz="0" w:space="0" w:color="auto"/>
            <w:bottom w:val="none" w:sz="0" w:space="0" w:color="auto"/>
            <w:right w:val="none" w:sz="0" w:space="0" w:color="auto"/>
          </w:divBdr>
        </w:div>
      </w:divsChild>
    </w:div>
    <w:div w:id="1613514516">
      <w:bodyDiv w:val="1"/>
      <w:marLeft w:val="0"/>
      <w:marRight w:val="0"/>
      <w:marTop w:val="0"/>
      <w:marBottom w:val="0"/>
      <w:divBdr>
        <w:top w:val="none" w:sz="0" w:space="0" w:color="auto"/>
        <w:left w:val="none" w:sz="0" w:space="0" w:color="auto"/>
        <w:bottom w:val="none" w:sz="0" w:space="0" w:color="auto"/>
        <w:right w:val="none" w:sz="0" w:space="0" w:color="auto"/>
      </w:divBdr>
      <w:divsChild>
        <w:div w:id="1259634449">
          <w:marLeft w:val="0"/>
          <w:marRight w:val="0"/>
          <w:marTop w:val="0"/>
          <w:marBottom w:val="0"/>
          <w:divBdr>
            <w:top w:val="none" w:sz="0" w:space="0" w:color="auto"/>
            <w:left w:val="none" w:sz="0" w:space="0" w:color="auto"/>
            <w:bottom w:val="none" w:sz="0" w:space="0" w:color="auto"/>
            <w:right w:val="none" w:sz="0" w:space="0" w:color="auto"/>
          </w:divBdr>
          <w:divsChild>
            <w:div w:id="87242631">
              <w:marLeft w:val="0"/>
              <w:marRight w:val="0"/>
              <w:marTop w:val="0"/>
              <w:marBottom w:val="0"/>
              <w:divBdr>
                <w:top w:val="none" w:sz="0" w:space="0" w:color="auto"/>
                <w:left w:val="none" w:sz="0" w:space="0" w:color="auto"/>
                <w:bottom w:val="none" w:sz="0" w:space="0" w:color="auto"/>
                <w:right w:val="none" w:sz="0" w:space="0" w:color="auto"/>
              </w:divBdr>
              <w:divsChild>
                <w:div w:id="25063522">
                  <w:marLeft w:val="0"/>
                  <w:marRight w:val="0"/>
                  <w:marTop w:val="150"/>
                  <w:marBottom w:val="0"/>
                  <w:divBdr>
                    <w:top w:val="none" w:sz="0" w:space="0" w:color="auto"/>
                    <w:left w:val="none" w:sz="0" w:space="0" w:color="auto"/>
                    <w:bottom w:val="none" w:sz="0" w:space="0" w:color="auto"/>
                    <w:right w:val="none" w:sz="0" w:space="0" w:color="auto"/>
                  </w:divBdr>
                  <w:divsChild>
                    <w:div w:id="943732436">
                      <w:marLeft w:val="0"/>
                      <w:marRight w:val="0"/>
                      <w:marTop w:val="375"/>
                      <w:marBottom w:val="0"/>
                      <w:divBdr>
                        <w:top w:val="none" w:sz="0" w:space="0" w:color="auto"/>
                        <w:left w:val="none" w:sz="0" w:space="0" w:color="auto"/>
                        <w:bottom w:val="none" w:sz="0" w:space="0" w:color="auto"/>
                        <w:right w:val="none" w:sz="0" w:space="0" w:color="auto"/>
                      </w:divBdr>
                      <w:divsChild>
                        <w:div w:id="283662220">
                          <w:marLeft w:val="0"/>
                          <w:marRight w:val="0"/>
                          <w:marTop w:val="0"/>
                          <w:marBottom w:val="0"/>
                          <w:divBdr>
                            <w:top w:val="none" w:sz="0" w:space="0" w:color="auto"/>
                            <w:left w:val="none" w:sz="0" w:space="0" w:color="auto"/>
                            <w:bottom w:val="none" w:sz="0" w:space="0" w:color="auto"/>
                            <w:right w:val="none" w:sz="0" w:space="0" w:color="auto"/>
                          </w:divBdr>
                          <w:divsChild>
                            <w:div w:id="7934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59178">
      <w:bodyDiv w:val="1"/>
      <w:marLeft w:val="0"/>
      <w:marRight w:val="0"/>
      <w:marTop w:val="0"/>
      <w:marBottom w:val="0"/>
      <w:divBdr>
        <w:top w:val="none" w:sz="0" w:space="0" w:color="auto"/>
        <w:left w:val="none" w:sz="0" w:space="0" w:color="auto"/>
        <w:bottom w:val="none" w:sz="0" w:space="0" w:color="auto"/>
        <w:right w:val="none" w:sz="0" w:space="0" w:color="auto"/>
      </w:divBdr>
      <w:divsChild>
        <w:div w:id="1431468143">
          <w:marLeft w:val="0"/>
          <w:marRight w:val="0"/>
          <w:marTop w:val="0"/>
          <w:marBottom w:val="0"/>
          <w:divBdr>
            <w:top w:val="none" w:sz="0" w:space="0" w:color="auto"/>
            <w:left w:val="none" w:sz="0" w:space="0" w:color="auto"/>
            <w:bottom w:val="none" w:sz="0" w:space="0" w:color="auto"/>
            <w:right w:val="none" w:sz="0" w:space="0" w:color="auto"/>
          </w:divBdr>
          <w:divsChild>
            <w:div w:id="480077033">
              <w:marLeft w:val="0"/>
              <w:marRight w:val="0"/>
              <w:marTop w:val="0"/>
              <w:marBottom w:val="0"/>
              <w:divBdr>
                <w:top w:val="none" w:sz="0" w:space="0" w:color="auto"/>
                <w:left w:val="none" w:sz="0" w:space="0" w:color="auto"/>
                <w:bottom w:val="none" w:sz="0" w:space="0" w:color="auto"/>
                <w:right w:val="none" w:sz="0" w:space="0" w:color="auto"/>
              </w:divBdr>
              <w:divsChild>
                <w:div w:id="1150176212">
                  <w:marLeft w:val="0"/>
                  <w:marRight w:val="0"/>
                  <w:marTop w:val="150"/>
                  <w:marBottom w:val="0"/>
                  <w:divBdr>
                    <w:top w:val="none" w:sz="0" w:space="0" w:color="auto"/>
                    <w:left w:val="none" w:sz="0" w:space="0" w:color="auto"/>
                    <w:bottom w:val="none" w:sz="0" w:space="0" w:color="auto"/>
                    <w:right w:val="none" w:sz="0" w:space="0" w:color="auto"/>
                  </w:divBdr>
                  <w:divsChild>
                    <w:div w:id="635182360">
                      <w:marLeft w:val="0"/>
                      <w:marRight w:val="0"/>
                      <w:marTop w:val="375"/>
                      <w:marBottom w:val="0"/>
                      <w:divBdr>
                        <w:top w:val="none" w:sz="0" w:space="0" w:color="auto"/>
                        <w:left w:val="none" w:sz="0" w:space="0" w:color="auto"/>
                        <w:bottom w:val="none" w:sz="0" w:space="0" w:color="auto"/>
                        <w:right w:val="none" w:sz="0" w:space="0" w:color="auto"/>
                      </w:divBdr>
                      <w:divsChild>
                        <w:div w:id="459765682">
                          <w:marLeft w:val="0"/>
                          <w:marRight w:val="0"/>
                          <w:marTop w:val="0"/>
                          <w:marBottom w:val="0"/>
                          <w:divBdr>
                            <w:top w:val="none" w:sz="0" w:space="0" w:color="auto"/>
                            <w:left w:val="none" w:sz="0" w:space="0" w:color="auto"/>
                            <w:bottom w:val="none" w:sz="0" w:space="0" w:color="auto"/>
                            <w:right w:val="none" w:sz="0" w:space="0" w:color="auto"/>
                          </w:divBdr>
                          <w:divsChild>
                            <w:div w:id="6065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icrosoft%20Word%20&#20013;&#30340;&#22270;&#34920;"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Wind\Wind.NET.Client\WindNET\users\W7182909213\export\&#22269;&#22806;&#21407;&#27833;&#21450;&#29123;&#27668;&#26399;&#36135;&#19982;&#29616;&#36135;&#20215;(&#26085;).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Wind\Wind.NET.Client\WindNET\users\W7182909213\export\&#22269;&#20869;&#22806;&#21407;&#27833;&#21450;&#22825;&#28982;&#27668;&#20215;&#26684;(&#2418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BaiduNetdiskDownload\1.%20&#25968;&#25454;\2.1%20&#20013;&#22269;&#25968;&#25454;\&#65288;3.1&#65289;&#26376;&#24230;&#26368;&#26032;&#25968;&#25454;&#65288;2018.10.19&#6528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BaiduNetdiskDownload\1.%20&#25968;&#25454;\2.1%20&#20013;&#22269;&#25968;&#25454;\&#65288;3.1&#65289;&#26376;&#24230;&#26368;&#26032;&#25968;&#25454;&#65288;2018.10.19&#6528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BaiduNetdiskDownload\1.%20&#25968;&#25454;\2.1%20&#20013;&#22269;&#25968;&#25454;\&#65288;3.1&#65289;&#26376;&#24230;&#26368;&#26032;&#25968;&#25454;&#65288;2018.12.11&#65289;.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_rels/chart6.xml.rels><?xml version="1.0" encoding="UTF-8" standalone="yes"?>
<Relationships xmlns="http://schemas.openxmlformats.org/package/2006/relationships"><Relationship Id="rId1" Type="http://schemas.openxmlformats.org/officeDocument/2006/relationships/oleObject" Target="file:///G:\BaiduNetdiskDownload\1.%20&#25968;&#25454;\2.1%20&#20013;&#22269;&#25968;&#25454;\&#65288;3.1&#65289;&#26376;&#24230;&#26368;&#26032;&#25968;&#25454;&#65288;2018.12.11&#65289;.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8.xml.rels><?xml version="1.0" encoding="UTF-8" standalone="yes"?>
<Relationships xmlns="http://schemas.openxmlformats.org/package/2006/relationships"><Relationship Id="rId1" Type="http://schemas.openxmlformats.org/officeDocument/2006/relationships/oleObject" Target="file:///G:\BaiduNetdiskDownload\1.%20&#25968;&#25454;\2.1%20&#20013;&#22269;&#25968;&#25454;\&#65288;3.1&#65289;&#26376;&#24230;&#26368;&#26032;&#25968;&#25454;&#65288;2018.12.11&#6528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BaiduNetdiskDownload\3.%20&#27491;&#22312;&#36827;&#34892;\4.%20&#26234;&#24211;&#25253;&#21578;\&#65288;&#27491;&#22312;&#65289;2018&#24180;12&#26376;&#23439;&#35266;&#25968;&#25454;&#20998;&#26512;\&#32654;&#22269;&#36135;&#24065;&#22686;&#36895;+&#22269;&#20869;&#29983;&#20135;&#24635;&#20540;(&#2339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1"/>
          <c:tx>
            <c:strRef>
              <c:f>'[Microsoft Word 中的图表]月度就业'!$D$1</c:f>
              <c:strCache>
                <c:ptCount val="1"/>
                <c:pt idx="0">
                  <c:v>城镇调查失业率（%）</c:v>
                </c:pt>
              </c:strCache>
            </c:strRef>
          </c:tx>
          <c:spPr>
            <a:ln w="28575" cap="rnd">
              <a:solidFill>
                <a:schemeClr val="accent3"/>
              </a:solidFill>
              <a:round/>
            </a:ln>
            <a:effectLst/>
          </c:spPr>
          <c:marker>
            <c:symbol val="none"/>
          </c:marker>
          <c:cat>
            <c:numRef>
              <c:f>'[Microsoft Word 中的图表]月度就业'!$A$67:$A$77</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'[Microsoft Word 中的图表]月度就业'!$D$67:$D$77</c:f>
              <c:numCache>
                <c:formatCode>#,##0.0_ </c:formatCode>
                <c:ptCount val="11"/>
                <c:pt idx="0">
                  <c:v>5</c:v>
                </c:pt>
                <c:pt idx="1">
                  <c:v>5</c:v>
                </c:pt>
                <c:pt idx="2">
                  <c:v>5.0999999999999996</c:v>
                </c:pt>
                <c:pt idx="3">
                  <c:v>4.9000000000000004</c:v>
                </c:pt>
                <c:pt idx="4">
                  <c:v>4.8</c:v>
                </c:pt>
                <c:pt idx="5">
                  <c:v>4.8</c:v>
                </c:pt>
                <c:pt idx="6">
                  <c:v>5.0999999999999996</c:v>
                </c:pt>
                <c:pt idx="7">
                  <c:v>5</c:v>
                </c:pt>
                <c:pt idx="8">
                  <c:v>4.9000000000000004</c:v>
                </c:pt>
                <c:pt idx="9">
                  <c:v>4.9000000000000004</c:v>
                </c:pt>
                <c:pt idx="10">
                  <c:v>4.8</c:v>
                </c:pt>
              </c:numCache>
            </c:numRef>
          </c:val>
          <c:smooth val="0"/>
          <c:extLst>
            <c:ext xmlns:c16="http://schemas.microsoft.com/office/drawing/2014/chart" uri="{C3380CC4-5D6E-409C-BE32-E72D297353CC}">
              <c16:uniqueId val="{00000000-438C-9446-8AD8-9CBE31B8F1BD}"/>
            </c:ext>
          </c:extLst>
        </c:ser>
        <c:dLbls>
          <c:showLegendKey val="0"/>
          <c:showVal val="0"/>
          <c:showCatName val="0"/>
          <c:showSerName val="0"/>
          <c:showPercent val="0"/>
          <c:showBubbleSize val="0"/>
        </c:dLbls>
        <c:marker val="1"/>
        <c:smooth val="0"/>
        <c:axId val="335147008"/>
        <c:axId val="204020480"/>
      </c:lineChart>
      <c:lineChart>
        <c:grouping val="standard"/>
        <c:varyColors val="0"/>
        <c:ser>
          <c:idx val="1"/>
          <c:order val="0"/>
          <c:tx>
            <c:strRef>
              <c:f>'[Microsoft Word 中的图表]月度就业'!$C$1</c:f>
              <c:strCache>
                <c:ptCount val="1"/>
                <c:pt idx="0">
                  <c:v>城镇新增就业人数:累计同比（%，右轴）</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'[Microsoft Word 中的图表]月度就业'!$A$67:$A$76</c:f>
              <c:numCache>
                <c:formatCode>yyyy\-mm;@</c:formatCode>
                <c:ptCount val="10"/>
                <c:pt idx="0">
                  <c:v>43131</c:v>
                </c:pt>
                <c:pt idx="1">
                  <c:v>43159</c:v>
                </c:pt>
                <c:pt idx="2">
                  <c:v>43190</c:v>
                </c:pt>
                <c:pt idx="3">
                  <c:v>43220</c:v>
                </c:pt>
                <c:pt idx="4">
                  <c:v>43251</c:v>
                </c:pt>
                <c:pt idx="5">
                  <c:v>43281</c:v>
                </c:pt>
                <c:pt idx="6">
                  <c:v>43312</c:v>
                </c:pt>
                <c:pt idx="7">
                  <c:v>43343</c:v>
                </c:pt>
                <c:pt idx="8">
                  <c:v>43373</c:v>
                </c:pt>
                <c:pt idx="9">
                  <c:v>43404</c:v>
                </c:pt>
              </c:numCache>
            </c:numRef>
          </c:cat>
          <c:val>
            <c:numRef>
              <c:f>'[Microsoft Word 中的图表]月度就业'!$C$67:$C$77</c:f>
              <c:numCache>
                <c:formatCode>0.0%</c:formatCode>
                <c:ptCount val="11"/>
                <c:pt idx="0">
                  <c:v>1.1494252873563315E-2</c:v>
                </c:pt>
                <c:pt idx="1">
                  <c:v>-6.3829787234042534E-2</c:v>
                </c:pt>
                <c:pt idx="2">
                  <c:v>-1.19760479041916E-2</c:v>
                </c:pt>
                <c:pt idx="3">
                  <c:v>1.2903225806451646E-2</c:v>
                </c:pt>
                <c:pt idx="4">
                  <c:v>2.3372287145241977E-2</c:v>
                </c:pt>
                <c:pt idx="5">
                  <c:v>2.3129251700680253E-2</c:v>
                </c:pt>
                <c:pt idx="6">
                  <c:v>2.9239766081871288E-2</c:v>
                </c:pt>
                <c:pt idx="7">
                  <c:v>1.6427104722792629E-2</c:v>
                </c:pt>
                <c:pt idx="8">
                  <c:v>9.1157702825888087E-3</c:v>
                </c:pt>
                <c:pt idx="9">
                  <c:v>7.5566750629723067E-3</c:v>
                </c:pt>
                <c:pt idx="10">
                  <c:v>1.0156250000000089E-2</c:v>
                </c:pt>
              </c:numCache>
            </c:numRef>
          </c:val>
          <c:smooth val="0"/>
          <c:extLst>
            <c:ext xmlns:c16="http://schemas.microsoft.com/office/drawing/2014/chart" uri="{C3380CC4-5D6E-409C-BE32-E72D297353CC}">
              <c16:uniqueId val="{00000001-438C-9446-8AD8-9CBE31B8F1BD}"/>
            </c:ext>
          </c:extLst>
        </c:ser>
        <c:dLbls>
          <c:showLegendKey val="0"/>
          <c:showVal val="0"/>
          <c:showCatName val="0"/>
          <c:showSerName val="0"/>
          <c:showPercent val="0"/>
          <c:showBubbleSize val="0"/>
        </c:dLbls>
        <c:marker val="1"/>
        <c:smooth val="0"/>
        <c:axId val="335150080"/>
        <c:axId val="159081600"/>
      </c:lineChart>
      <c:dateAx>
        <c:axId val="335147008"/>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04020480"/>
        <c:crosses val="autoZero"/>
        <c:auto val="1"/>
        <c:lblOffset val="100"/>
        <c:baseTimeUnit val="months"/>
      </c:dateAx>
      <c:valAx>
        <c:axId val="204020480"/>
        <c:scaling>
          <c:orientation val="minMax"/>
        </c:scaling>
        <c:delete val="0"/>
        <c:axPos val="l"/>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35147008"/>
        <c:crosses val="autoZero"/>
        <c:crossBetween val="between"/>
      </c:valAx>
      <c:valAx>
        <c:axId val="159081600"/>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35150080"/>
        <c:crosses val="max"/>
        <c:crossBetween val="between"/>
      </c:valAx>
      <c:dateAx>
        <c:axId val="335150080"/>
        <c:scaling>
          <c:orientation val="minMax"/>
        </c:scaling>
        <c:delete val="1"/>
        <c:axPos val="b"/>
        <c:numFmt formatCode="yyyy\-mm;@" sourceLinked="1"/>
        <c:majorTickMark val="out"/>
        <c:minorTickMark val="none"/>
        <c:tickLblPos val="nextTo"/>
        <c:crossAx val="159081600"/>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期货结算价(连续):WTI原油:月</c:v>
                </c:pt>
              </c:strCache>
            </c:strRef>
          </c:tx>
          <c:spPr>
            <a:ln w="28575" cap="rnd">
              <a:solidFill>
                <a:schemeClr val="accent1"/>
              </a:solidFill>
              <a:round/>
            </a:ln>
            <a:effectLst/>
          </c:spPr>
          <c:marker>
            <c:symbol val="none"/>
          </c:marker>
          <c:cat>
            <c:numRef>
              <c:f>Sheet1!$A$4:$A$432</c:f>
              <c:numCache>
                <c:formatCode>yyyy\-mm;@</c:formatCode>
                <c:ptCount val="429"/>
                <c:pt idx="0">
                  <c:v>30406</c:v>
                </c:pt>
                <c:pt idx="1">
                  <c:v>30436</c:v>
                </c:pt>
                <c:pt idx="2">
                  <c:v>30467</c:v>
                </c:pt>
                <c:pt idx="3">
                  <c:v>30497</c:v>
                </c:pt>
                <c:pt idx="4">
                  <c:v>30528</c:v>
                </c:pt>
                <c:pt idx="5">
                  <c:v>30559</c:v>
                </c:pt>
                <c:pt idx="6">
                  <c:v>30589</c:v>
                </c:pt>
                <c:pt idx="7">
                  <c:v>30620</c:v>
                </c:pt>
                <c:pt idx="8">
                  <c:v>30650</c:v>
                </c:pt>
                <c:pt idx="9">
                  <c:v>30681</c:v>
                </c:pt>
                <c:pt idx="10">
                  <c:v>30712</c:v>
                </c:pt>
                <c:pt idx="11">
                  <c:v>30741</c:v>
                </c:pt>
                <c:pt idx="12">
                  <c:v>30772</c:v>
                </c:pt>
                <c:pt idx="13">
                  <c:v>30802</c:v>
                </c:pt>
                <c:pt idx="14">
                  <c:v>30833</c:v>
                </c:pt>
                <c:pt idx="15">
                  <c:v>30863</c:v>
                </c:pt>
                <c:pt idx="16">
                  <c:v>30894</c:v>
                </c:pt>
                <c:pt idx="17">
                  <c:v>30925</c:v>
                </c:pt>
                <c:pt idx="18">
                  <c:v>30955</c:v>
                </c:pt>
                <c:pt idx="19">
                  <c:v>30986</c:v>
                </c:pt>
                <c:pt idx="20">
                  <c:v>31016</c:v>
                </c:pt>
                <c:pt idx="21">
                  <c:v>31047</c:v>
                </c:pt>
                <c:pt idx="22">
                  <c:v>31078</c:v>
                </c:pt>
                <c:pt idx="23">
                  <c:v>31106</c:v>
                </c:pt>
                <c:pt idx="24">
                  <c:v>31137</c:v>
                </c:pt>
                <c:pt idx="25">
                  <c:v>31167</c:v>
                </c:pt>
                <c:pt idx="26">
                  <c:v>31198</c:v>
                </c:pt>
                <c:pt idx="27">
                  <c:v>31228</c:v>
                </c:pt>
                <c:pt idx="28">
                  <c:v>31259</c:v>
                </c:pt>
                <c:pt idx="29">
                  <c:v>31290</c:v>
                </c:pt>
                <c:pt idx="30">
                  <c:v>31320</c:v>
                </c:pt>
                <c:pt idx="31">
                  <c:v>31351</c:v>
                </c:pt>
                <c:pt idx="32">
                  <c:v>31381</c:v>
                </c:pt>
                <c:pt idx="33">
                  <c:v>31412</c:v>
                </c:pt>
                <c:pt idx="34">
                  <c:v>31443</c:v>
                </c:pt>
                <c:pt idx="35">
                  <c:v>31471</c:v>
                </c:pt>
                <c:pt idx="36">
                  <c:v>31502</c:v>
                </c:pt>
                <c:pt idx="37">
                  <c:v>31532</c:v>
                </c:pt>
                <c:pt idx="38">
                  <c:v>31563</c:v>
                </c:pt>
                <c:pt idx="39">
                  <c:v>31593</c:v>
                </c:pt>
                <c:pt idx="40">
                  <c:v>31624</c:v>
                </c:pt>
                <c:pt idx="41">
                  <c:v>31655</c:v>
                </c:pt>
                <c:pt idx="42">
                  <c:v>31685</c:v>
                </c:pt>
                <c:pt idx="43">
                  <c:v>31716</c:v>
                </c:pt>
                <c:pt idx="44">
                  <c:v>31746</c:v>
                </c:pt>
                <c:pt idx="45">
                  <c:v>31777</c:v>
                </c:pt>
                <c:pt idx="46">
                  <c:v>31808</c:v>
                </c:pt>
                <c:pt idx="47">
                  <c:v>31836</c:v>
                </c:pt>
                <c:pt idx="48">
                  <c:v>31867</c:v>
                </c:pt>
                <c:pt idx="49">
                  <c:v>31897</c:v>
                </c:pt>
                <c:pt idx="50">
                  <c:v>31928</c:v>
                </c:pt>
                <c:pt idx="51">
                  <c:v>31958</c:v>
                </c:pt>
                <c:pt idx="52">
                  <c:v>31989</c:v>
                </c:pt>
                <c:pt idx="53">
                  <c:v>32020</c:v>
                </c:pt>
                <c:pt idx="54">
                  <c:v>32050</c:v>
                </c:pt>
                <c:pt idx="55">
                  <c:v>32081</c:v>
                </c:pt>
                <c:pt idx="56">
                  <c:v>32111</c:v>
                </c:pt>
                <c:pt idx="57">
                  <c:v>32142</c:v>
                </c:pt>
                <c:pt idx="58">
                  <c:v>32173</c:v>
                </c:pt>
                <c:pt idx="59">
                  <c:v>32202</c:v>
                </c:pt>
                <c:pt idx="60">
                  <c:v>32233</c:v>
                </c:pt>
                <c:pt idx="61">
                  <c:v>32263</c:v>
                </c:pt>
                <c:pt idx="62">
                  <c:v>32294</c:v>
                </c:pt>
                <c:pt idx="63">
                  <c:v>32324</c:v>
                </c:pt>
                <c:pt idx="64">
                  <c:v>32355</c:v>
                </c:pt>
                <c:pt idx="65">
                  <c:v>32386</c:v>
                </c:pt>
                <c:pt idx="66">
                  <c:v>32416</c:v>
                </c:pt>
                <c:pt idx="67">
                  <c:v>32447</c:v>
                </c:pt>
                <c:pt idx="68">
                  <c:v>32477</c:v>
                </c:pt>
                <c:pt idx="69">
                  <c:v>32508</c:v>
                </c:pt>
                <c:pt idx="70">
                  <c:v>32539</c:v>
                </c:pt>
                <c:pt idx="71">
                  <c:v>32567</c:v>
                </c:pt>
                <c:pt idx="72">
                  <c:v>32598</c:v>
                </c:pt>
                <c:pt idx="73">
                  <c:v>32628</c:v>
                </c:pt>
                <c:pt idx="74">
                  <c:v>32659</c:v>
                </c:pt>
                <c:pt idx="75">
                  <c:v>32689</c:v>
                </c:pt>
                <c:pt idx="76">
                  <c:v>32720</c:v>
                </c:pt>
                <c:pt idx="77">
                  <c:v>32751</c:v>
                </c:pt>
                <c:pt idx="78">
                  <c:v>32781</c:v>
                </c:pt>
                <c:pt idx="79">
                  <c:v>32812</c:v>
                </c:pt>
                <c:pt idx="80">
                  <c:v>32842</c:v>
                </c:pt>
                <c:pt idx="81">
                  <c:v>32873</c:v>
                </c:pt>
                <c:pt idx="82">
                  <c:v>32904</c:v>
                </c:pt>
                <c:pt idx="83">
                  <c:v>32932</c:v>
                </c:pt>
                <c:pt idx="84">
                  <c:v>32963</c:v>
                </c:pt>
                <c:pt idx="85">
                  <c:v>32993</c:v>
                </c:pt>
                <c:pt idx="86">
                  <c:v>33024</c:v>
                </c:pt>
                <c:pt idx="87">
                  <c:v>33054</c:v>
                </c:pt>
                <c:pt idx="88">
                  <c:v>33085</c:v>
                </c:pt>
                <c:pt idx="89">
                  <c:v>33116</c:v>
                </c:pt>
                <c:pt idx="90">
                  <c:v>33146</c:v>
                </c:pt>
                <c:pt idx="91">
                  <c:v>33177</c:v>
                </c:pt>
                <c:pt idx="92">
                  <c:v>33207</c:v>
                </c:pt>
                <c:pt idx="93">
                  <c:v>33238</c:v>
                </c:pt>
                <c:pt idx="94">
                  <c:v>33269</c:v>
                </c:pt>
                <c:pt idx="95">
                  <c:v>33297</c:v>
                </c:pt>
                <c:pt idx="96">
                  <c:v>33328</c:v>
                </c:pt>
                <c:pt idx="97">
                  <c:v>33358</c:v>
                </c:pt>
                <c:pt idx="98">
                  <c:v>33389</c:v>
                </c:pt>
                <c:pt idx="99">
                  <c:v>33419</c:v>
                </c:pt>
                <c:pt idx="100">
                  <c:v>33450</c:v>
                </c:pt>
                <c:pt idx="101">
                  <c:v>33481</c:v>
                </c:pt>
                <c:pt idx="102">
                  <c:v>33511</c:v>
                </c:pt>
                <c:pt idx="103">
                  <c:v>33542</c:v>
                </c:pt>
                <c:pt idx="104">
                  <c:v>33572</c:v>
                </c:pt>
                <c:pt idx="105">
                  <c:v>33603</c:v>
                </c:pt>
                <c:pt idx="106">
                  <c:v>33634</c:v>
                </c:pt>
                <c:pt idx="107">
                  <c:v>33663</c:v>
                </c:pt>
                <c:pt idx="108">
                  <c:v>33694</c:v>
                </c:pt>
                <c:pt idx="109">
                  <c:v>33724</c:v>
                </c:pt>
                <c:pt idx="110">
                  <c:v>33755</c:v>
                </c:pt>
                <c:pt idx="111">
                  <c:v>33785</c:v>
                </c:pt>
                <c:pt idx="112">
                  <c:v>33816</c:v>
                </c:pt>
                <c:pt idx="113">
                  <c:v>33847</c:v>
                </c:pt>
                <c:pt idx="114">
                  <c:v>33877</c:v>
                </c:pt>
                <c:pt idx="115">
                  <c:v>33908</c:v>
                </c:pt>
                <c:pt idx="116">
                  <c:v>33938</c:v>
                </c:pt>
                <c:pt idx="117">
                  <c:v>33969</c:v>
                </c:pt>
                <c:pt idx="118">
                  <c:v>34000</c:v>
                </c:pt>
                <c:pt idx="119">
                  <c:v>34028</c:v>
                </c:pt>
                <c:pt idx="120">
                  <c:v>34059</c:v>
                </c:pt>
                <c:pt idx="121">
                  <c:v>34089</c:v>
                </c:pt>
                <c:pt idx="122">
                  <c:v>34120</c:v>
                </c:pt>
                <c:pt idx="123">
                  <c:v>34150</c:v>
                </c:pt>
                <c:pt idx="124">
                  <c:v>34181</c:v>
                </c:pt>
                <c:pt idx="125">
                  <c:v>34212</c:v>
                </c:pt>
                <c:pt idx="126">
                  <c:v>34242</c:v>
                </c:pt>
                <c:pt idx="127">
                  <c:v>34273</c:v>
                </c:pt>
                <c:pt idx="128">
                  <c:v>34303</c:v>
                </c:pt>
                <c:pt idx="129">
                  <c:v>34334</c:v>
                </c:pt>
                <c:pt idx="130">
                  <c:v>34365</c:v>
                </c:pt>
                <c:pt idx="131">
                  <c:v>34393</c:v>
                </c:pt>
                <c:pt idx="132">
                  <c:v>34424</c:v>
                </c:pt>
                <c:pt idx="133">
                  <c:v>34454</c:v>
                </c:pt>
                <c:pt idx="134">
                  <c:v>34485</c:v>
                </c:pt>
                <c:pt idx="135">
                  <c:v>34515</c:v>
                </c:pt>
                <c:pt idx="136">
                  <c:v>34546</c:v>
                </c:pt>
                <c:pt idx="137">
                  <c:v>34577</c:v>
                </c:pt>
                <c:pt idx="138">
                  <c:v>34607</c:v>
                </c:pt>
                <c:pt idx="139">
                  <c:v>34638</c:v>
                </c:pt>
                <c:pt idx="140">
                  <c:v>34668</c:v>
                </c:pt>
                <c:pt idx="141">
                  <c:v>34699</c:v>
                </c:pt>
                <c:pt idx="142">
                  <c:v>34730</c:v>
                </c:pt>
                <c:pt idx="143">
                  <c:v>34758</c:v>
                </c:pt>
                <c:pt idx="144">
                  <c:v>34789</c:v>
                </c:pt>
                <c:pt idx="145">
                  <c:v>34819</c:v>
                </c:pt>
                <c:pt idx="146">
                  <c:v>34850</c:v>
                </c:pt>
                <c:pt idx="147">
                  <c:v>34880</c:v>
                </c:pt>
                <c:pt idx="148">
                  <c:v>34911</c:v>
                </c:pt>
                <c:pt idx="149">
                  <c:v>34942</c:v>
                </c:pt>
                <c:pt idx="150">
                  <c:v>34972</c:v>
                </c:pt>
                <c:pt idx="151">
                  <c:v>35003</c:v>
                </c:pt>
                <c:pt idx="152">
                  <c:v>35033</c:v>
                </c:pt>
                <c:pt idx="153">
                  <c:v>35064</c:v>
                </c:pt>
                <c:pt idx="154">
                  <c:v>35095</c:v>
                </c:pt>
                <c:pt idx="155">
                  <c:v>35124</c:v>
                </c:pt>
                <c:pt idx="156">
                  <c:v>35155</c:v>
                </c:pt>
                <c:pt idx="157">
                  <c:v>35185</c:v>
                </c:pt>
                <c:pt idx="158">
                  <c:v>35216</c:v>
                </c:pt>
                <c:pt idx="159">
                  <c:v>35246</c:v>
                </c:pt>
                <c:pt idx="160">
                  <c:v>35277</c:v>
                </c:pt>
                <c:pt idx="161">
                  <c:v>35308</c:v>
                </c:pt>
                <c:pt idx="162">
                  <c:v>35338</c:v>
                </c:pt>
                <c:pt idx="163">
                  <c:v>35369</c:v>
                </c:pt>
                <c:pt idx="164">
                  <c:v>35399</c:v>
                </c:pt>
                <c:pt idx="165">
                  <c:v>35430</c:v>
                </c:pt>
                <c:pt idx="166">
                  <c:v>35461</c:v>
                </c:pt>
                <c:pt idx="167">
                  <c:v>35489</c:v>
                </c:pt>
                <c:pt idx="168">
                  <c:v>35520</c:v>
                </c:pt>
                <c:pt idx="169">
                  <c:v>35550</c:v>
                </c:pt>
                <c:pt idx="170">
                  <c:v>35581</c:v>
                </c:pt>
                <c:pt idx="171">
                  <c:v>35611</c:v>
                </c:pt>
                <c:pt idx="172">
                  <c:v>35642</c:v>
                </c:pt>
                <c:pt idx="173">
                  <c:v>35673</c:v>
                </c:pt>
                <c:pt idx="174">
                  <c:v>35703</c:v>
                </c:pt>
                <c:pt idx="175">
                  <c:v>35734</c:v>
                </c:pt>
                <c:pt idx="176">
                  <c:v>35764</c:v>
                </c:pt>
                <c:pt idx="177">
                  <c:v>35795</c:v>
                </c:pt>
                <c:pt idx="178">
                  <c:v>35826</c:v>
                </c:pt>
                <c:pt idx="179">
                  <c:v>35854</c:v>
                </c:pt>
                <c:pt idx="180">
                  <c:v>35885</c:v>
                </c:pt>
                <c:pt idx="181">
                  <c:v>35915</c:v>
                </c:pt>
                <c:pt idx="182">
                  <c:v>35946</c:v>
                </c:pt>
                <c:pt idx="183">
                  <c:v>35976</c:v>
                </c:pt>
                <c:pt idx="184">
                  <c:v>36007</c:v>
                </c:pt>
                <c:pt idx="185">
                  <c:v>36038</c:v>
                </c:pt>
                <c:pt idx="186">
                  <c:v>36068</c:v>
                </c:pt>
                <c:pt idx="187">
                  <c:v>36099</c:v>
                </c:pt>
                <c:pt idx="188">
                  <c:v>36129</c:v>
                </c:pt>
                <c:pt idx="189">
                  <c:v>36160</c:v>
                </c:pt>
                <c:pt idx="190">
                  <c:v>36191</c:v>
                </c:pt>
                <c:pt idx="191">
                  <c:v>36219</c:v>
                </c:pt>
                <c:pt idx="192">
                  <c:v>36250</c:v>
                </c:pt>
                <c:pt idx="193">
                  <c:v>36280</c:v>
                </c:pt>
                <c:pt idx="194">
                  <c:v>36311</c:v>
                </c:pt>
                <c:pt idx="195">
                  <c:v>36341</c:v>
                </c:pt>
                <c:pt idx="196">
                  <c:v>36372</c:v>
                </c:pt>
                <c:pt idx="197">
                  <c:v>36403</c:v>
                </c:pt>
                <c:pt idx="198">
                  <c:v>36433</c:v>
                </c:pt>
                <c:pt idx="199">
                  <c:v>36464</c:v>
                </c:pt>
                <c:pt idx="200">
                  <c:v>36494</c:v>
                </c:pt>
                <c:pt idx="201">
                  <c:v>36525</c:v>
                </c:pt>
                <c:pt idx="202">
                  <c:v>36556</c:v>
                </c:pt>
                <c:pt idx="203">
                  <c:v>36585</c:v>
                </c:pt>
                <c:pt idx="204">
                  <c:v>36616</c:v>
                </c:pt>
                <c:pt idx="205">
                  <c:v>36646</c:v>
                </c:pt>
                <c:pt idx="206">
                  <c:v>36677</c:v>
                </c:pt>
                <c:pt idx="207">
                  <c:v>36707</c:v>
                </c:pt>
                <c:pt idx="208">
                  <c:v>36738</c:v>
                </c:pt>
                <c:pt idx="209">
                  <c:v>36769</c:v>
                </c:pt>
                <c:pt idx="210">
                  <c:v>36799</c:v>
                </c:pt>
                <c:pt idx="211">
                  <c:v>36830</c:v>
                </c:pt>
                <c:pt idx="212">
                  <c:v>36860</c:v>
                </c:pt>
                <c:pt idx="213">
                  <c:v>36891</c:v>
                </c:pt>
                <c:pt idx="214">
                  <c:v>36922</c:v>
                </c:pt>
                <c:pt idx="215">
                  <c:v>36950</c:v>
                </c:pt>
                <c:pt idx="216">
                  <c:v>36981</c:v>
                </c:pt>
                <c:pt idx="217">
                  <c:v>37011</c:v>
                </c:pt>
                <c:pt idx="218">
                  <c:v>37042</c:v>
                </c:pt>
                <c:pt idx="219">
                  <c:v>37072</c:v>
                </c:pt>
                <c:pt idx="220">
                  <c:v>37103</c:v>
                </c:pt>
                <c:pt idx="221">
                  <c:v>37134</c:v>
                </c:pt>
                <c:pt idx="222">
                  <c:v>37164</c:v>
                </c:pt>
                <c:pt idx="223">
                  <c:v>37195</c:v>
                </c:pt>
                <c:pt idx="224">
                  <c:v>37225</c:v>
                </c:pt>
                <c:pt idx="225">
                  <c:v>37256</c:v>
                </c:pt>
                <c:pt idx="226">
                  <c:v>37287</c:v>
                </c:pt>
                <c:pt idx="227">
                  <c:v>37315</c:v>
                </c:pt>
                <c:pt idx="228">
                  <c:v>37346</c:v>
                </c:pt>
                <c:pt idx="229">
                  <c:v>37376</c:v>
                </c:pt>
                <c:pt idx="230">
                  <c:v>37407</c:v>
                </c:pt>
                <c:pt idx="231">
                  <c:v>37437</c:v>
                </c:pt>
                <c:pt idx="232">
                  <c:v>37468</c:v>
                </c:pt>
                <c:pt idx="233">
                  <c:v>37499</c:v>
                </c:pt>
                <c:pt idx="234">
                  <c:v>37529</c:v>
                </c:pt>
                <c:pt idx="235">
                  <c:v>37560</c:v>
                </c:pt>
                <c:pt idx="236">
                  <c:v>37590</c:v>
                </c:pt>
                <c:pt idx="237">
                  <c:v>37621</c:v>
                </c:pt>
                <c:pt idx="238">
                  <c:v>37652</c:v>
                </c:pt>
                <c:pt idx="239">
                  <c:v>37680</c:v>
                </c:pt>
                <c:pt idx="240">
                  <c:v>37711</c:v>
                </c:pt>
                <c:pt idx="241">
                  <c:v>37741</c:v>
                </c:pt>
                <c:pt idx="242">
                  <c:v>37772</c:v>
                </c:pt>
                <c:pt idx="243">
                  <c:v>37802</c:v>
                </c:pt>
                <c:pt idx="244">
                  <c:v>37833</c:v>
                </c:pt>
                <c:pt idx="245">
                  <c:v>37864</c:v>
                </c:pt>
                <c:pt idx="246">
                  <c:v>37894</c:v>
                </c:pt>
                <c:pt idx="247">
                  <c:v>37925</c:v>
                </c:pt>
                <c:pt idx="248">
                  <c:v>37955</c:v>
                </c:pt>
                <c:pt idx="249">
                  <c:v>37986</c:v>
                </c:pt>
                <c:pt idx="250">
                  <c:v>38017</c:v>
                </c:pt>
                <c:pt idx="251">
                  <c:v>38046</c:v>
                </c:pt>
                <c:pt idx="252">
                  <c:v>38077</c:v>
                </c:pt>
                <c:pt idx="253">
                  <c:v>38107</c:v>
                </c:pt>
                <c:pt idx="254">
                  <c:v>38138</c:v>
                </c:pt>
                <c:pt idx="255">
                  <c:v>38168</c:v>
                </c:pt>
                <c:pt idx="256">
                  <c:v>38199</c:v>
                </c:pt>
                <c:pt idx="257">
                  <c:v>38230</c:v>
                </c:pt>
                <c:pt idx="258">
                  <c:v>38260</c:v>
                </c:pt>
                <c:pt idx="259">
                  <c:v>38291</c:v>
                </c:pt>
                <c:pt idx="260">
                  <c:v>38321</c:v>
                </c:pt>
                <c:pt idx="261">
                  <c:v>38352</c:v>
                </c:pt>
                <c:pt idx="262">
                  <c:v>38383</c:v>
                </c:pt>
                <c:pt idx="263">
                  <c:v>38411</c:v>
                </c:pt>
                <c:pt idx="264">
                  <c:v>38442</c:v>
                </c:pt>
                <c:pt idx="265">
                  <c:v>38472</c:v>
                </c:pt>
                <c:pt idx="266">
                  <c:v>38503</c:v>
                </c:pt>
                <c:pt idx="267">
                  <c:v>38533</c:v>
                </c:pt>
                <c:pt idx="268">
                  <c:v>38564</c:v>
                </c:pt>
                <c:pt idx="269">
                  <c:v>38595</c:v>
                </c:pt>
                <c:pt idx="270">
                  <c:v>38625</c:v>
                </c:pt>
                <c:pt idx="271">
                  <c:v>38656</c:v>
                </c:pt>
                <c:pt idx="272">
                  <c:v>38686</c:v>
                </c:pt>
                <c:pt idx="273">
                  <c:v>38717</c:v>
                </c:pt>
                <c:pt idx="274">
                  <c:v>38748</c:v>
                </c:pt>
                <c:pt idx="275">
                  <c:v>38776</c:v>
                </c:pt>
                <c:pt idx="276">
                  <c:v>38807</c:v>
                </c:pt>
                <c:pt idx="277">
                  <c:v>38837</c:v>
                </c:pt>
                <c:pt idx="278">
                  <c:v>38868</c:v>
                </c:pt>
                <c:pt idx="279">
                  <c:v>38898</c:v>
                </c:pt>
                <c:pt idx="280">
                  <c:v>38929</c:v>
                </c:pt>
                <c:pt idx="281">
                  <c:v>38960</c:v>
                </c:pt>
                <c:pt idx="282">
                  <c:v>38990</c:v>
                </c:pt>
                <c:pt idx="283">
                  <c:v>39021</c:v>
                </c:pt>
                <c:pt idx="284">
                  <c:v>39051</c:v>
                </c:pt>
                <c:pt idx="285">
                  <c:v>39082</c:v>
                </c:pt>
                <c:pt idx="286">
                  <c:v>39113</c:v>
                </c:pt>
                <c:pt idx="287">
                  <c:v>39141</c:v>
                </c:pt>
                <c:pt idx="288">
                  <c:v>39172</c:v>
                </c:pt>
                <c:pt idx="289">
                  <c:v>39202</c:v>
                </c:pt>
                <c:pt idx="290">
                  <c:v>39233</c:v>
                </c:pt>
                <c:pt idx="291">
                  <c:v>39263</c:v>
                </c:pt>
                <c:pt idx="292">
                  <c:v>39294</c:v>
                </c:pt>
                <c:pt idx="293">
                  <c:v>39325</c:v>
                </c:pt>
                <c:pt idx="294">
                  <c:v>39355</c:v>
                </c:pt>
                <c:pt idx="295">
                  <c:v>39386</c:v>
                </c:pt>
                <c:pt idx="296">
                  <c:v>39416</c:v>
                </c:pt>
                <c:pt idx="297">
                  <c:v>39447</c:v>
                </c:pt>
                <c:pt idx="298">
                  <c:v>39478</c:v>
                </c:pt>
                <c:pt idx="299">
                  <c:v>39507</c:v>
                </c:pt>
                <c:pt idx="300">
                  <c:v>39538</c:v>
                </c:pt>
                <c:pt idx="301">
                  <c:v>39568</c:v>
                </c:pt>
                <c:pt idx="302">
                  <c:v>39599</c:v>
                </c:pt>
                <c:pt idx="303">
                  <c:v>39629</c:v>
                </c:pt>
                <c:pt idx="304">
                  <c:v>39660</c:v>
                </c:pt>
                <c:pt idx="305">
                  <c:v>39691</c:v>
                </c:pt>
                <c:pt idx="306">
                  <c:v>39721</c:v>
                </c:pt>
                <c:pt idx="307">
                  <c:v>39752</c:v>
                </c:pt>
                <c:pt idx="308">
                  <c:v>39782</c:v>
                </c:pt>
                <c:pt idx="309">
                  <c:v>39813</c:v>
                </c:pt>
                <c:pt idx="310">
                  <c:v>39844</c:v>
                </c:pt>
                <c:pt idx="311">
                  <c:v>39872</c:v>
                </c:pt>
                <c:pt idx="312">
                  <c:v>39903</c:v>
                </c:pt>
                <c:pt idx="313">
                  <c:v>39933</c:v>
                </c:pt>
                <c:pt idx="314">
                  <c:v>39964</c:v>
                </c:pt>
                <c:pt idx="315">
                  <c:v>39994</c:v>
                </c:pt>
                <c:pt idx="316">
                  <c:v>40025</c:v>
                </c:pt>
                <c:pt idx="317">
                  <c:v>40056</c:v>
                </c:pt>
                <c:pt idx="318">
                  <c:v>40086</c:v>
                </c:pt>
                <c:pt idx="319">
                  <c:v>40117</c:v>
                </c:pt>
                <c:pt idx="320">
                  <c:v>40147</c:v>
                </c:pt>
                <c:pt idx="321">
                  <c:v>40178</c:v>
                </c:pt>
                <c:pt idx="322">
                  <c:v>40209</c:v>
                </c:pt>
                <c:pt idx="323">
                  <c:v>40237</c:v>
                </c:pt>
                <c:pt idx="324">
                  <c:v>40268</c:v>
                </c:pt>
                <c:pt idx="325">
                  <c:v>40298</c:v>
                </c:pt>
                <c:pt idx="326">
                  <c:v>40329</c:v>
                </c:pt>
                <c:pt idx="327">
                  <c:v>40359</c:v>
                </c:pt>
                <c:pt idx="328">
                  <c:v>40390</c:v>
                </c:pt>
                <c:pt idx="329">
                  <c:v>40421</c:v>
                </c:pt>
                <c:pt idx="330">
                  <c:v>40451</c:v>
                </c:pt>
                <c:pt idx="331">
                  <c:v>40482</c:v>
                </c:pt>
                <c:pt idx="332">
                  <c:v>40512</c:v>
                </c:pt>
                <c:pt idx="333">
                  <c:v>40543</c:v>
                </c:pt>
                <c:pt idx="334">
                  <c:v>40574</c:v>
                </c:pt>
                <c:pt idx="335">
                  <c:v>40602</c:v>
                </c:pt>
                <c:pt idx="336">
                  <c:v>40633</c:v>
                </c:pt>
                <c:pt idx="337">
                  <c:v>40663</c:v>
                </c:pt>
                <c:pt idx="338">
                  <c:v>40694</c:v>
                </c:pt>
                <c:pt idx="339">
                  <c:v>40724</c:v>
                </c:pt>
                <c:pt idx="340">
                  <c:v>40755</c:v>
                </c:pt>
                <c:pt idx="341">
                  <c:v>40786</c:v>
                </c:pt>
                <c:pt idx="342">
                  <c:v>40816</c:v>
                </c:pt>
                <c:pt idx="343">
                  <c:v>40847</c:v>
                </c:pt>
                <c:pt idx="344">
                  <c:v>40877</c:v>
                </c:pt>
                <c:pt idx="345">
                  <c:v>40908</c:v>
                </c:pt>
                <c:pt idx="346">
                  <c:v>40939</c:v>
                </c:pt>
                <c:pt idx="347">
                  <c:v>40968</c:v>
                </c:pt>
                <c:pt idx="348">
                  <c:v>40999</c:v>
                </c:pt>
                <c:pt idx="349">
                  <c:v>41029</c:v>
                </c:pt>
                <c:pt idx="350">
                  <c:v>41060</c:v>
                </c:pt>
                <c:pt idx="351">
                  <c:v>41090</c:v>
                </c:pt>
                <c:pt idx="352">
                  <c:v>41121</c:v>
                </c:pt>
                <c:pt idx="353">
                  <c:v>41152</c:v>
                </c:pt>
                <c:pt idx="354">
                  <c:v>41182</c:v>
                </c:pt>
                <c:pt idx="355">
                  <c:v>41213</c:v>
                </c:pt>
                <c:pt idx="356">
                  <c:v>41243</c:v>
                </c:pt>
                <c:pt idx="357">
                  <c:v>41274</c:v>
                </c:pt>
                <c:pt idx="358">
                  <c:v>41305</c:v>
                </c:pt>
                <c:pt idx="359">
                  <c:v>41333</c:v>
                </c:pt>
                <c:pt idx="360">
                  <c:v>41364</c:v>
                </c:pt>
                <c:pt idx="361">
                  <c:v>41394</c:v>
                </c:pt>
                <c:pt idx="362">
                  <c:v>41425</c:v>
                </c:pt>
                <c:pt idx="363">
                  <c:v>41455</c:v>
                </c:pt>
                <c:pt idx="364">
                  <c:v>41486</c:v>
                </c:pt>
                <c:pt idx="365">
                  <c:v>41517</c:v>
                </c:pt>
                <c:pt idx="366">
                  <c:v>41547</c:v>
                </c:pt>
                <c:pt idx="367">
                  <c:v>41578</c:v>
                </c:pt>
                <c:pt idx="368">
                  <c:v>41608</c:v>
                </c:pt>
                <c:pt idx="369">
                  <c:v>41639</c:v>
                </c:pt>
                <c:pt idx="370">
                  <c:v>41670</c:v>
                </c:pt>
                <c:pt idx="371">
                  <c:v>41698</c:v>
                </c:pt>
                <c:pt idx="372">
                  <c:v>41729</c:v>
                </c:pt>
                <c:pt idx="373">
                  <c:v>41759</c:v>
                </c:pt>
                <c:pt idx="374">
                  <c:v>41790</c:v>
                </c:pt>
                <c:pt idx="375">
                  <c:v>41820</c:v>
                </c:pt>
                <c:pt idx="376">
                  <c:v>41851</c:v>
                </c:pt>
                <c:pt idx="377">
                  <c:v>41882</c:v>
                </c:pt>
                <c:pt idx="378">
                  <c:v>41912</c:v>
                </c:pt>
                <c:pt idx="379">
                  <c:v>41943</c:v>
                </c:pt>
                <c:pt idx="380">
                  <c:v>41973</c:v>
                </c:pt>
                <c:pt idx="381">
                  <c:v>42004</c:v>
                </c:pt>
                <c:pt idx="382">
                  <c:v>42035</c:v>
                </c:pt>
                <c:pt idx="383">
                  <c:v>42063</c:v>
                </c:pt>
                <c:pt idx="384">
                  <c:v>42094</c:v>
                </c:pt>
                <c:pt idx="385">
                  <c:v>42124</c:v>
                </c:pt>
                <c:pt idx="386">
                  <c:v>42155</c:v>
                </c:pt>
                <c:pt idx="387">
                  <c:v>42185</c:v>
                </c:pt>
                <c:pt idx="388">
                  <c:v>42216</c:v>
                </c:pt>
                <c:pt idx="389">
                  <c:v>42247</c:v>
                </c:pt>
                <c:pt idx="390">
                  <c:v>42277</c:v>
                </c:pt>
                <c:pt idx="391">
                  <c:v>42308</c:v>
                </c:pt>
                <c:pt idx="392">
                  <c:v>42338</c:v>
                </c:pt>
                <c:pt idx="393">
                  <c:v>42369</c:v>
                </c:pt>
                <c:pt idx="394">
                  <c:v>42400</c:v>
                </c:pt>
                <c:pt idx="395">
                  <c:v>42429</c:v>
                </c:pt>
                <c:pt idx="396">
                  <c:v>42460</c:v>
                </c:pt>
                <c:pt idx="397">
                  <c:v>42490</c:v>
                </c:pt>
                <c:pt idx="398">
                  <c:v>42521</c:v>
                </c:pt>
                <c:pt idx="399">
                  <c:v>42551</c:v>
                </c:pt>
                <c:pt idx="400">
                  <c:v>42582</c:v>
                </c:pt>
                <c:pt idx="401">
                  <c:v>42613</c:v>
                </c:pt>
                <c:pt idx="402">
                  <c:v>42643</c:v>
                </c:pt>
                <c:pt idx="403">
                  <c:v>42674</c:v>
                </c:pt>
                <c:pt idx="404">
                  <c:v>42704</c:v>
                </c:pt>
                <c:pt idx="405">
                  <c:v>42735</c:v>
                </c:pt>
                <c:pt idx="406">
                  <c:v>42766</c:v>
                </c:pt>
                <c:pt idx="407">
                  <c:v>42794</c:v>
                </c:pt>
                <c:pt idx="408">
                  <c:v>42825</c:v>
                </c:pt>
                <c:pt idx="409">
                  <c:v>42855</c:v>
                </c:pt>
                <c:pt idx="410">
                  <c:v>42886</c:v>
                </c:pt>
                <c:pt idx="411">
                  <c:v>42916</c:v>
                </c:pt>
                <c:pt idx="412">
                  <c:v>42947</c:v>
                </c:pt>
                <c:pt idx="413">
                  <c:v>42978</c:v>
                </c:pt>
                <c:pt idx="414">
                  <c:v>43008</c:v>
                </c:pt>
                <c:pt idx="415">
                  <c:v>43039</c:v>
                </c:pt>
                <c:pt idx="416">
                  <c:v>43069</c:v>
                </c:pt>
                <c:pt idx="417">
                  <c:v>43100</c:v>
                </c:pt>
                <c:pt idx="418">
                  <c:v>43131</c:v>
                </c:pt>
                <c:pt idx="419">
                  <c:v>43159</c:v>
                </c:pt>
                <c:pt idx="420">
                  <c:v>43190</c:v>
                </c:pt>
                <c:pt idx="421">
                  <c:v>43220</c:v>
                </c:pt>
                <c:pt idx="422">
                  <c:v>43251</c:v>
                </c:pt>
                <c:pt idx="423">
                  <c:v>43281</c:v>
                </c:pt>
                <c:pt idx="424">
                  <c:v>43312</c:v>
                </c:pt>
                <c:pt idx="425">
                  <c:v>43343</c:v>
                </c:pt>
                <c:pt idx="426">
                  <c:v>43373</c:v>
                </c:pt>
                <c:pt idx="427">
                  <c:v>43404</c:v>
                </c:pt>
                <c:pt idx="428">
                  <c:v>43434</c:v>
                </c:pt>
              </c:numCache>
            </c:numRef>
          </c:cat>
          <c:val>
            <c:numRef>
              <c:f>Sheet1!$B$4:$B$432</c:f>
              <c:numCache>
                <c:formatCode>#,##0_ </c:formatCode>
                <c:ptCount val="429"/>
                <c:pt idx="0">
                  <c:v>29.344999999999999</c:v>
                </c:pt>
                <c:pt idx="1">
                  <c:v>30.500499999999999</c:v>
                </c:pt>
                <c:pt idx="2">
                  <c:v>30.167368421052636</c:v>
                </c:pt>
                <c:pt idx="3">
                  <c:v>30.957272727272734</c:v>
                </c:pt>
                <c:pt idx="4">
                  <c:v>31.590999999999998</c:v>
                </c:pt>
                <c:pt idx="5">
                  <c:v>31.893636363636361</c:v>
                </c:pt>
                <c:pt idx="6">
                  <c:v>31.242380952380955</c:v>
                </c:pt>
                <c:pt idx="7">
                  <c:v>30.40285714285714</c:v>
                </c:pt>
                <c:pt idx="8">
                  <c:v>29.95055555555555</c:v>
                </c:pt>
                <c:pt idx="9">
                  <c:v>29.236190476190473</c:v>
                </c:pt>
                <c:pt idx="10">
                  <c:v>29.625789473684211</c:v>
                </c:pt>
                <c:pt idx="11">
                  <c:v>30.05263157894737</c:v>
                </c:pt>
                <c:pt idx="12">
                  <c:v>30.723181818181821</c:v>
                </c:pt>
                <c:pt idx="13">
                  <c:v>30.663333333333338</c:v>
                </c:pt>
                <c:pt idx="14">
                  <c:v>30.550909090909098</c:v>
                </c:pt>
                <c:pt idx="15">
                  <c:v>29.980952380952377</c:v>
                </c:pt>
                <c:pt idx="16">
                  <c:v>28.761052631578949</c:v>
                </c:pt>
                <c:pt idx="17">
                  <c:v>29.326086956521735</c:v>
                </c:pt>
                <c:pt idx="18">
                  <c:v>29.389473684210525</c:v>
                </c:pt>
                <c:pt idx="19">
                  <c:v>28.800000000000004</c:v>
                </c:pt>
                <c:pt idx="20">
                  <c:v>28.105555555555558</c:v>
                </c:pt>
                <c:pt idx="21">
                  <c:v>27.049230769230768</c:v>
                </c:pt>
                <c:pt idx="22">
                  <c:v>25.64</c:v>
                </c:pt>
                <c:pt idx="23">
                  <c:v>27.144736842105264</c:v>
                </c:pt>
                <c:pt idx="24">
                  <c:v>28.105789473684212</c:v>
                </c:pt>
                <c:pt idx="25">
                  <c:v>28.64714285714286</c:v>
                </c:pt>
                <c:pt idx="26">
                  <c:v>27.494545454545456</c:v>
                </c:pt>
                <c:pt idx="27">
                  <c:v>27.10157894736842</c:v>
                </c:pt>
                <c:pt idx="28">
                  <c:v>27.270476190476195</c:v>
                </c:pt>
                <c:pt idx="29">
                  <c:v>27.699545454545465</c:v>
                </c:pt>
                <c:pt idx="30">
                  <c:v>28.218</c:v>
                </c:pt>
                <c:pt idx="31">
                  <c:v>29.37086956521739</c:v>
                </c:pt>
                <c:pt idx="32">
                  <c:v>30.725263157894741</c:v>
                </c:pt>
                <c:pt idx="33">
                  <c:v>27.281666666666663</c:v>
                </c:pt>
                <c:pt idx="34">
                  <c:v>23.067619047619047</c:v>
                </c:pt>
                <c:pt idx="35">
                  <c:v>15.564444444444446</c:v>
                </c:pt>
                <c:pt idx="36">
                  <c:v>12.614999999999998</c:v>
                </c:pt>
                <c:pt idx="37">
                  <c:v>12.753636363636362</c:v>
                </c:pt>
                <c:pt idx="38">
                  <c:v>15.2865</c:v>
                </c:pt>
                <c:pt idx="39">
                  <c:v>13.375238095238092</c:v>
                </c:pt>
                <c:pt idx="40">
                  <c:v>11.595714285714283</c:v>
                </c:pt>
                <c:pt idx="41">
                  <c:v>15.088571428571424</c:v>
                </c:pt>
                <c:pt idx="42">
                  <c:v>14.871904761904759</c:v>
                </c:pt>
                <c:pt idx="43">
                  <c:v>14.891304347826088</c:v>
                </c:pt>
                <c:pt idx="44">
                  <c:v>15.222777777777781</c:v>
                </c:pt>
                <c:pt idx="45">
                  <c:v>15.960476190476186</c:v>
                </c:pt>
                <c:pt idx="46">
                  <c:v>18.660952380952381</c:v>
                </c:pt>
                <c:pt idx="47">
                  <c:v>17.892105263157891</c:v>
                </c:pt>
                <c:pt idx="48">
                  <c:v>18.276363636363634</c:v>
                </c:pt>
                <c:pt idx="49">
                  <c:v>18.672380952380948</c:v>
                </c:pt>
                <c:pt idx="50">
                  <c:v>19.407500000000006</c:v>
                </c:pt>
                <c:pt idx="51">
                  <c:v>20.085000000000004</c:v>
                </c:pt>
                <c:pt idx="52">
                  <c:v>21.359545454545454</c:v>
                </c:pt>
                <c:pt idx="53">
                  <c:v>20.250476190476192</c:v>
                </c:pt>
                <c:pt idx="54">
                  <c:v>19.483333333333331</c:v>
                </c:pt>
                <c:pt idx="55">
                  <c:v>19.839545454545455</c:v>
                </c:pt>
                <c:pt idx="56">
                  <c:v>18.865789473684213</c:v>
                </c:pt>
                <c:pt idx="57">
                  <c:v>17.267727272727271</c:v>
                </c:pt>
                <c:pt idx="58">
                  <c:v>17.148421052631576</c:v>
                </c:pt>
                <c:pt idx="59">
                  <c:v>16.7515</c:v>
                </c:pt>
                <c:pt idx="60">
                  <c:v>16.212173913043479</c:v>
                </c:pt>
                <c:pt idx="61">
                  <c:v>17.87444444444445</c:v>
                </c:pt>
                <c:pt idx="62">
                  <c:v>17.446190476190477</c:v>
                </c:pt>
                <c:pt idx="63">
                  <c:v>16.560454545454544</c:v>
                </c:pt>
                <c:pt idx="64">
                  <c:v>15.511499999999998</c:v>
                </c:pt>
                <c:pt idx="65">
                  <c:v>15.526521739130432</c:v>
                </c:pt>
                <c:pt idx="66">
                  <c:v>14.464285714285714</c:v>
                </c:pt>
                <c:pt idx="67">
                  <c:v>13.802857142857141</c:v>
                </c:pt>
                <c:pt idx="68">
                  <c:v>14.010499999999999</c:v>
                </c:pt>
                <c:pt idx="69">
                  <c:v>16.282857142857139</c:v>
                </c:pt>
                <c:pt idx="70">
                  <c:v>17.984285714285718</c:v>
                </c:pt>
                <c:pt idx="71">
                  <c:v>17.821578947368419</c:v>
                </c:pt>
                <c:pt idx="72">
                  <c:v>19.442727272727272</c:v>
                </c:pt>
                <c:pt idx="73">
                  <c:v>20.876500000000004</c:v>
                </c:pt>
                <c:pt idx="74">
                  <c:v>20.029545454545456</c:v>
                </c:pt>
                <c:pt idx="75">
                  <c:v>19.992272727272731</c:v>
                </c:pt>
                <c:pt idx="76">
                  <c:v>19.6905</c:v>
                </c:pt>
                <c:pt idx="77">
                  <c:v>18.547391304347823</c:v>
                </c:pt>
                <c:pt idx="78">
                  <c:v>19.594500000000004</c:v>
                </c:pt>
                <c:pt idx="79">
                  <c:v>20.10227272727273</c:v>
                </c:pt>
                <c:pt idx="80">
                  <c:v>19.829047619047618</c:v>
                </c:pt>
                <c:pt idx="81">
                  <c:v>21.09</c:v>
                </c:pt>
                <c:pt idx="82">
                  <c:v>22.639545454545456</c:v>
                </c:pt>
                <c:pt idx="83">
                  <c:v>22.107368421052637</c:v>
                </c:pt>
                <c:pt idx="84">
                  <c:v>20.323181818181812</c:v>
                </c:pt>
                <c:pt idx="85">
                  <c:v>18.582000000000004</c:v>
                </c:pt>
                <c:pt idx="86">
                  <c:v>18.462272727272726</c:v>
                </c:pt>
                <c:pt idx="87">
                  <c:v>16.86</c:v>
                </c:pt>
                <c:pt idx="88">
                  <c:v>18.640476190476193</c:v>
                </c:pt>
                <c:pt idx="89">
                  <c:v>27.166521739130438</c:v>
                </c:pt>
                <c:pt idx="90">
                  <c:v>33.688421052631575</c:v>
                </c:pt>
                <c:pt idx="91">
                  <c:v>35.918260869565209</c:v>
                </c:pt>
                <c:pt idx="92">
                  <c:v>32.30142857142858</c:v>
                </c:pt>
                <c:pt idx="93">
                  <c:v>27.147500000000008</c:v>
                </c:pt>
                <c:pt idx="94">
                  <c:v>24.699545454545454</c:v>
                </c:pt>
                <c:pt idx="95">
                  <c:v>20.537894736842109</c:v>
                </c:pt>
                <c:pt idx="96">
                  <c:v>19.884</c:v>
                </c:pt>
                <c:pt idx="97">
                  <c:v>20.815909090909084</c:v>
                </c:pt>
                <c:pt idx="98">
                  <c:v>21.246363636363636</c:v>
                </c:pt>
                <c:pt idx="99">
                  <c:v>20.202500000000004</c:v>
                </c:pt>
                <c:pt idx="100">
                  <c:v>21.428181818181823</c:v>
                </c:pt>
                <c:pt idx="101">
                  <c:v>21.682272727272728</c:v>
                </c:pt>
                <c:pt idx="102">
                  <c:v>21.856999999999996</c:v>
                </c:pt>
                <c:pt idx="103">
                  <c:v>23.229565217391308</c:v>
                </c:pt>
                <c:pt idx="104">
                  <c:v>22.4315</c:v>
                </c:pt>
                <c:pt idx="105">
                  <c:v>19.53142857142857</c:v>
                </c:pt>
                <c:pt idx="106">
                  <c:v>18.819999999999997</c:v>
                </c:pt>
                <c:pt idx="107">
                  <c:v>19.005263157894742</c:v>
                </c:pt>
                <c:pt idx="108">
                  <c:v>18.948181818181819</c:v>
                </c:pt>
                <c:pt idx="109">
                  <c:v>20.256666666666671</c:v>
                </c:pt>
                <c:pt idx="110">
                  <c:v>20.996500000000001</c:v>
                </c:pt>
                <c:pt idx="111">
                  <c:v>22.358181818181819</c:v>
                </c:pt>
                <c:pt idx="112">
                  <c:v>21.744545454545456</c:v>
                </c:pt>
                <c:pt idx="113">
                  <c:v>21.286666666666662</c:v>
                </c:pt>
                <c:pt idx="114">
                  <c:v>21.915714285714291</c:v>
                </c:pt>
                <c:pt idx="115">
                  <c:v>21.706818181818178</c:v>
                </c:pt>
                <c:pt idx="116">
                  <c:v>20.364736842105259</c:v>
                </c:pt>
                <c:pt idx="117">
                  <c:v>19.405238095238094</c:v>
                </c:pt>
                <c:pt idx="118">
                  <c:v>19.048499999999997</c:v>
                </c:pt>
                <c:pt idx="119">
                  <c:v>20.075789473684214</c:v>
                </c:pt>
                <c:pt idx="120">
                  <c:v>20.356521739130439</c:v>
                </c:pt>
                <c:pt idx="121">
                  <c:v>20.325238095238092</c:v>
                </c:pt>
                <c:pt idx="122">
                  <c:v>19.978999999999992</c:v>
                </c:pt>
                <c:pt idx="123">
                  <c:v>19.11363636363636</c:v>
                </c:pt>
                <c:pt idx="124">
                  <c:v>17.895714285714288</c:v>
                </c:pt>
                <c:pt idx="125">
                  <c:v>18.013181818181824</c:v>
                </c:pt>
                <c:pt idx="126">
                  <c:v>17.520476190476192</c:v>
                </c:pt>
                <c:pt idx="127">
                  <c:v>18.167619047619048</c:v>
                </c:pt>
                <c:pt idx="128">
                  <c:v>16.726500000000001</c:v>
                </c:pt>
                <c:pt idx="129">
                  <c:v>14.532857142857145</c:v>
                </c:pt>
                <c:pt idx="130">
                  <c:v>15.028571428571427</c:v>
                </c:pt>
                <c:pt idx="131">
                  <c:v>14.772631578947372</c:v>
                </c:pt>
                <c:pt idx="132">
                  <c:v>14.666956521739129</c:v>
                </c:pt>
                <c:pt idx="133">
                  <c:v>16.336315789473684</c:v>
                </c:pt>
                <c:pt idx="134">
                  <c:v>17.867142857142863</c:v>
                </c:pt>
                <c:pt idx="135">
                  <c:v>19.099090909090908</c:v>
                </c:pt>
                <c:pt idx="136">
                  <c:v>19.647500000000001</c:v>
                </c:pt>
                <c:pt idx="137">
                  <c:v>18.369565217391301</c:v>
                </c:pt>
                <c:pt idx="138">
                  <c:v>17.467142857142861</c:v>
                </c:pt>
                <c:pt idx="139">
                  <c:v>17.719047619047618</c:v>
                </c:pt>
                <c:pt idx="140">
                  <c:v>18.0915</c:v>
                </c:pt>
                <c:pt idx="141">
                  <c:v>17.156190476190474</c:v>
                </c:pt>
                <c:pt idx="142">
                  <c:v>17.993333333333332</c:v>
                </c:pt>
                <c:pt idx="143">
                  <c:v>18.534736842105268</c:v>
                </c:pt>
                <c:pt idx="144">
                  <c:v>18.554347826086953</c:v>
                </c:pt>
                <c:pt idx="145">
                  <c:v>19.88789473684211</c:v>
                </c:pt>
                <c:pt idx="146">
                  <c:v>19.740454545454543</c:v>
                </c:pt>
                <c:pt idx="147">
                  <c:v>18.400454545454547</c:v>
                </c:pt>
                <c:pt idx="148">
                  <c:v>17.256842105263154</c:v>
                </c:pt>
                <c:pt idx="149">
                  <c:v>17.812608695652173</c:v>
                </c:pt>
                <c:pt idx="150">
                  <c:v>18.208000000000002</c:v>
                </c:pt>
                <c:pt idx="151">
                  <c:v>17.397727272727273</c:v>
                </c:pt>
                <c:pt idx="152">
                  <c:v>18.023499999999999</c:v>
                </c:pt>
                <c:pt idx="153">
                  <c:v>19.037500000000001</c:v>
                </c:pt>
                <c:pt idx="154">
                  <c:v>18.771363636363642</c:v>
                </c:pt>
                <c:pt idx="155">
                  <c:v>18.782500000000002</c:v>
                </c:pt>
                <c:pt idx="156">
                  <c:v>21.181904761904764</c:v>
                </c:pt>
                <c:pt idx="157">
                  <c:v>23.295238095238091</c:v>
                </c:pt>
                <c:pt idx="158">
                  <c:v>21.09181818181818</c:v>
                </c:pt>
                <c:pt idx="159">
                  <c:v>20.429499999999997</c:v>
                </c:pt>
                <c:pt idx="160">
                  <c:v>21.250476190476189</c:v>
                </c:pt>
                <c:pt idx="161">
                  <c:v>21.906363636363633</c:v>
                </c:pt>
                <c:pt idx="162">
                  <c:v>23.931999999999999</c:v>
                </c:pt>
                <c:pt idx="163">
                  <c:v>24.897391304347831</c:v>
                </c:pt>
                <c:pt idx="164">
                  <c:v>23.551578947368419</c:v>
                </c:pt>
                <c:pt idx="165">
                  <c:v>25.123809523809523</c:v>
                </c:pt>
                <c:pt idx="166">
                  <c:v>25.180454545454548</c:v>
                </c:pt>
                <c:pt idx="167">
                  <c:v>22.172105263157896</c:v>
                </c:pt>
                <c:pt idx="168">
                  <c:v>20.973999999999997</c:v>
                </c:pt>
                <c:pt idx="169">
                  <c:v>19.726818181818185</c:v>
                </c:pt>
                <c:pt idx="170">
                  <c:v>20.871904761904766</c:v>
                </c:pt>
                <c:pt idx="171">
                  <c:v>19.217619047619046</c:v>
                </c:pt>
                <c:pt idx="172">
                  <c:v>19.65909090909091</c:v>
                </c:pt>
                <c:pt idx="173">
                  <c:v>19.945714285714285</c:v>
                </c:pt>
                <c:pt idx="174">
                  <c:v>19.777619047619048</c:v>
                </c:pt>
                <c:pt idx="175">
                  <c:v>21.278695652173905</c:v>
                </c:pt>
                <c:pt idx="176">
                  <c:v>20.22</c:v>
                </c:pt>
                <c:pt idx="177">
                  <c:v>18.323181818181819</c:v>
                </c:pt>
                <c:pt idx="178">
                  <c:v>16.749500000000001</c:v>
                </c:pt>
                <c:pt idx="179">
                  <c:v>16.080526315789474</c:v>
                </c:pt>
                <c:pt idx="180">
                  <c:v>14.944999999999999</c:v>
                </c:pt>
                <c:pt idx="181">
                  <c:v>15.460476190476189</c:v>
                </c:pt>
                <c:pt idx="182">
                  <c:v>14.698500000000001</c:v>
                </c:pt>
                <c:pt idx="183">
                  <c:v>13.62</c:v>
                </c:pt>
                <c:pt idx="184">
                  <c:v>14.068636363636358</c:v>
                </c:pt>
                <c:pt idx="185">
                  <c:v>13.39</c:v>
                </c:pt>
                <c:pt idx="186">
                  <c:v>14.965238095238094</c:v>
                </c:pt>
                <c:pt idx="187">
                  <c:v>14.385454545454548</c:v>
                </c:pt>
                <c:pt idx="188">
                  <c:v>13.023157894736844</c:v>
                </c:pt>
                <c:pt idx="189">
                  <c:v>11.296818181818182</c:v>
                </c:pt>
                <c:pt idx="190">
                  <c:v>12.486842105263158</c:v>
                </c:pt>
                <c:pt idx="191">
                  <c:v>11.993684210526316</c:v>
                </c:pt>
                <c:pt idx="192">
                  <c:v>14.681739130434783</c:v>
                </c:pt>
                <c:pt idx="193">
                  <c:v>17.302380952380958</c:v>
                </c:pt>
                <c:pt idx="194">
                  <c:v>17.770999999999997</c:v>
                </c:pt>
                <c:pt idx="195">
                  <c:v>17.920000000000002</c:v>
                </c:pt>
                <c:pt idx="196">
                  <c:v>20.09571428571428</c:v>
                </c:pt>
                <c:pt idx="197">
                  <c:v>21.279090909090904</c:v>
                </c:pt>
                <c:pt idx="198">
                  <c:v>23.789047619047615</c:v>
                </c:pt>
                <c:pt idx="199">
                  <c:v>22.674761904761905</c:v>
                </c:pt>
                <c:pt idx="200">
                  <c:v>24.766500000000001</c:v>
                </c:pt>
                <c:pt idx="201">
                  <c:v>26.088571428571431</c:v>
                </c:pt>
                <c:pt idx="202">
                  <c:v>27.014210526315789</c:v>
                </c:pt>
                <c:pt idx="203">
                  <c:v>29.297499999999996</c:v>
                </c:pt>
                <c:pt idx="204">
                  <c:v>29.894347826086953</c:v>
                </c:pt>
                <c:pt idx="205">
                  <c:v>25.536842105263162</c:v>
                </c:pt>
                <c:pt idx="206">
                  <c:v>28.805909090909093</c:v>
                </c:pt>
                <c:pt idx="207">
                  <c:v>31.529999999999998</c:v>
                </c:pt>
                <c:pt idx="208">
                  <c:v>29.716315789473679</c:v>
                </c:pt>
                <c:pt idx="209">
                  <c:v>31.137826086956526</c:v>
                </c:pt>
                <c:pt idx="210">
                  <c:v>33.867000000000004</c:v>
                </c:pt>
                <c:pt idx="211">
                  <c:v>32.932272727272739</c:v>
                </c:pt>
                <c:pt idx="212">
                  <c:v>34.262999999999998</c:v>
                </c:pt>
                <c:pt idx="213">
                  <c:v>28.398499999999995</c:v>
                </c:pt>
                <c:pt idx="214">
                  <c:v>29.259523809523806</c:v>
                </c:pt>
                <c:pt idx="215">
                  <c:v>29.644736842105271</c:v>
                </c:pt>
                <c:pt idx="216">
                  <c:v>27.271363636363631</c:v>
                </c:pt>
                <c:pt idx="217">
                  <c:v>27.621000000000002</c:v>
                </c:pt>
                <c:pt idx="218">
                  <c:v>28.684090909090909</c:v>
                </c:pt>
                <c:pt idx="219">
                  <c:v>27.584761904761905</c:v>
                </c:pt>
                <c:pt idx="220">
                  <c:v>26.467142857142854</c:v>
                </c:pt>
                <c:pt idx="221">
                  <c:v>27.309130434782606</c:v>
                </c:pt>
                <c:pt idx="222">
                  <c:v>26.034117647058821</c:v>
                </c:pt>
                <c:pt idx="223">
                  <c:v>22.212608695652172</c:v>
                </c:pt>
                <c:pt idx="224">
                  <c:v>19.669499999999996</c:v>
                </c:pt>
                <c:pt idx="225">
                  <c:v>19.403684210526315</c:v>
                </c:pt>
                <c:pt idx="226">
                  <c:v>19.72904761904762</c:v>
                </c:pt>
                <c:pt idx="227">
                  <c:v>20.755789473684214</c:v>
                </c:pt>
                <c:pt idx="228">
                  <c:v>24.442</c:v>
                </c:pt>
                <c:pt idx="229">
                  <c:v>26.258181818181814</c:v>
                </c:pt>
                <c:pt idx="230">
                  <c:v>26.953181818181807</c:v>
                </c:pt>
                <c:pt idx="231">
                  <c:v>25.545999999999996</c:v>
                </c:pt>
                <c:pt idx="232">
                  <c:v>26.939999999999994</c:v>
                </c:pt>
                <c:pt idx="233">
                  <c:v>28.200000000000003</c:v>
                </c:pt>
                <c:pt idx="234">
                  <c:v>29.669999999999998</c:v>
                </c:pt>
                <c:pt idx="235">
                  <c:v>28.86304347826087</c:v>
                </c:pt>
                <c:pt idx="236">
                  <c:v>26.189473684210526</c:v>
                </c:pt>
                <c:pt idx="237">
                  <c:v>29.393333333333338</c:v>
                </c:pt>
                <c:pt idx="238">
                  <c:v>32.699523809523804</c:v>
                </c:pt>
                <c:pt idx="239">
                  <c:v>35.733157894736848</c:v>
                </c:pt>
                <c:pt idx="240">
                  <c:v>33.156190476190474</c:v>
                </c:pt>
                <c:pt idx="241">
                  <c:v>28.135714285714286</c:v>
                </c:pt>
                <c:pt idx="242">
                  <c:v>28.070476190476185</c:v>
                </c:pt>
                <c:pt idx="243">
                  <c:v>30.519523809523808</c:v>
                </c:pt>
                <c:pt idx="244">
                  <c:v>30.702272727272724</c:v>
                </c:pt>
                <c:pt idx="245">
                  <c:v>31.59714285714286</c:v>
                </c:pt>
                <c:pt idx="246">
                  <c:v>28.311428571428571</c:v>
                </c:pt>
                <c:pt idx="247">
                  <c:v>30.345217391304345</c:v>
                </c:pt>
                <c:pt idx="248">
                  <c:v>31.056111111111118</c:v>
                </c:pt>
                <c:pt idx="249">
                  <c:v>32.142380952380954</c:v>
                </c:pt>
                <c:pt idx="250">
                  <c:v>34.224736842105266</c:v>
                </c:pt>
                <c:pt idx="251">
                  <c:v>34.5</c:v>
                </c:pt>
                <c:pt idx="252">
                  <c:v>36.718260869565221</c:v>
                </c:pt>
                <c:pt idx="253">
                  <c:v>36.616666666666674</c:v>
                </c:pt>
                <c:pt idx="254">
                  <c:v>40.28</c:v>
                </c:pt>
                <c:pt idx="255">
                  <c:v>38.049523809523805</c:v>
                </c:pt>
                <c:pt idx="256">
                  <c:v>40.807619047619049</c:v>
                </c:pt>
                <c:pt idx="257">
                  <c:v>44.883636363636363</c:v>
                </c:pt>
                <c:pt idx="258">
                  <c:v>45.937619047619052</c:v>
                </c:pt>
                <c:pt idx="259">
                  <c:v>53.093809523809512</c:v>
                </c:pt>
                <c:pt idx="260">
                  <c:v>48.475500000000004</c:v>
                </c:pt>
                <c:pt idx="261">
                  <c:v>43.256190476190469</c:v>
                </c:pt>
                <c:pt idx="262">
                  <c:v>46.851499999999994</c:v>
                </c:pt>
                <c:pt idx="263">
                  <c:v>48.053157894736835</c:v>
                </c:pt>
                <c:pt idx="264">
                  <c:v>54.629545454545458</c:v>
                </c:pt>
                <c:pt idx="265">
                  <c:v>53.217619047619053</c:v>
                </c:pt>
                <c:pt idx="266">
                  <c:v>49.870952380952382</c:v>
                </c:pt>
                <c:pt idx="267">
                  <c:v>56.419545454545464</c:v>
                </c:pt>
                <c:pt idx="268">
                  <c:v>59.02600000000001</c:v>
                </c:pt>
                <c:pt idx="269">
                  <c:v>64.993478260869566</c:v>
                </c:pt>
                <c:pt idx="270">
                  <c:v>65.552857142857121</c:v>
                </c:pt>
                <c:pt idx="271">
                  <c:v>62.268571428571434</c:v>
                </c:pt>
                <c:pt idx="272">
                  <c:v>58.342999999999996</c:v>
                </c:pt>
                <c:pt idx="273">
                  <c:v>59.447619047619042</c:v>
                </c:pt>
                <c:pt idx="274">
                  <c:v>65.537499999999994</c:v>
                </c:pt>
                <c:pt idx="275">
                  <c:v>61.925789473684219</c:v>
                </c:pt>
                <c:pt idx="276">
                  <c:v>62.96608695652175</c:v>
                </c:pt>
                <c:pt idx="277">
                  <c:v>70.16105263157894</c:v>
                </c:pt>
                <c:pt idx="278">
                  <c:v>70.96090909090907</c:v>
                </c:pt>
                <c:pt idx="279">
                  <c:v>70.969545454545454</c:v>
                </c:pt>
                <c:pt idx="280">
                  <c:v>74.436499999999995</c:v>
                </c:pt>
                <c:pt idx="281">
                  <c:v>73.083478260869569</c:v>
                </c:pt>
                <c:pt idx="282">
                  <c:v>63.895000000000003</c:v>
                </c:pt>
                <c:pt idx="283">
                  <c:v>59.136818181818178</c:v>
                </c:pt>
                <c:pt idx="284">
                  <c:v>59.395238095238106</c:v>
                </c:pt>
                <c:pt idx="285">
                  <c:v>62.086499999999987</c:v>
                </c:pt>
                <c:pt idx="286">
                  <c:v>54.672380952380955</c:v>
                </c:pt>
                <c:pt idx="287">
                  <c:v>59.3878947368421</c:v>
                </c:pt>
                <c:pt idx="288">
                  <c:v>60.740454545454547</c:v>
                </c:pt>
                <c:pt idx="289">
                  <c:v>64.036000000000001</c:v>
                </c:pt>
                <c:pt idx="290">
                  <c:v>63.530909090909091</c:v>
                </c:pt>
                <c:pt idx="291">
                  <c:v>67.529523809523809</c:v>
                </c:pt>
                <c:pt idx="292">
                  <c:v>74.157000000000011</c:v>
                </c:pt>
                <c:pt idx="293">
                  <c:v>72.358695652173907</c:v>
                </c:pt>
                <c:pt idx="294">
                  <c:v>79.626315789473679</c:v>
                </c:pt>
                <c:pt idx="295">
                  <c:v>85.658260869565197</c:v>
                </c:pt>
                <c:pt idx="296">
                  <c:v>94.631428571428572</c:v>
                </c:pt>
                <c:pt idx="297">
                  <c:v>91.742499999999993</c:v>
                </c:pt>
                <c:pt idx="298">
                  <c:v>92.929047619047623</c:v>
                </c:pt>
                <c:pt idx="299">
                  <c:v>95.34899999999999</c:v>
                </c:pt>
                <c:pt idx="300">
                  <c:v>105.42</c:v>
                </c:pt>
                <c:pt idx="301">
                  <c:v>112.46272727272729</c:v>
                </c:pt>
                <c:pt idx="302">
                  <c:v>125.45857142857142</c:v>
                </c:pt>
                <c:pt idx="303">
                  <c:v>134.0157142857143</c:v>
                </c:pt>
                <c:pt idx="304">
                  <c:v>133.48454545454544</c:v>
                </c:pt>
                <c:pt idx="305">
                  <c:v>116.68809523809526</c:v>
                </c:pt>
                <c:pt idx="306">
                  <c:v>103.76380952380954</c:v>
                </c:pt>
                <c:pt idx="307">
                  <c:v>76.723913043478262</c:v>
                </c:pt>
                <c:pt idx="308">
                  <c:v>57.441052631578955</c:v>
                </c:pt>
                <c:pt idx="309">
                  <c:v>42.042272727272731</c:v>
                </c:pt>
                <c:pt idx="310">
                  <c:v>41.923499999999997</c:v>
                </c:pt>
                <c:pt idx="311">
                  <c:v>39.258421052631583</c:v>
                </c:pt>
                <c:pt idx="312">
                  <c:v>48.061818181818175</c:v>
                </c:pt>
                <c:pt idx="313">
                  <c:v>49.949523809523811</c:v>
                </c:pt>
                <c:pt idx="314">
                  <c:v>59.212499999999991</c:v>
                </c:pt>
                <c:pt idx="315">
                  <c:v>69.695454545454567</c:v>
                </c:pt>
                <c:pt idx="316">
                  <c:v>64.293181818181822</c:v>
                </c:pt>
                <c:pt idx="317">
                  <c:v>71.138571428571424</c:v>
                </c:pt>
                <c:pt idx="318">
                  <c:v>69.468095238095231</c:v>
                </c:pt>
                <c:pt idx="319">
                  <c:v>75.823636363636354</c:v>
                </c:pt>
                <c:pt idx="320">
                  <c:v>78.144999999999996</c:v>
                </c:pt>
                <c:pt idx="321">
                  <c:v>74.603181818181824</c:v>
                </c:pt>
                <c:pt idx="322">
                  <c:v>78.402631578947378</c:v>
                </c:pt>
                <c:pt idx="323">
                  <c:v>76.452631578947376</c:v>
                </c:pt>
                <c:pt idx="324">
                  <c:v>81.290000000000006</c:v>
                </c:pt>
                <c:pt idx="325">
                  <c:v>84.57523809523812</c:v>
                </c:pt>
                <c:pt idx="326">
                  <c:v>74.117499999999993</c:v>
                </c:pt>
                <c:pt idx="327">
                  <c:v>75.404545454545442</c:v>
                </c:pt>
                <c:pt idx="328">
                  <c:v>76.382857142857134</c:v>
                </c:pt>
                <c:pt idx="329">
                  <c:v>76.666818181818186</c:v>
                </c:pt>
                <c:pt idx="330">
                  <c:v>75.548571428571421</c:v>
                </c:pt>
                <c:pt idx="331">
                  <c:v>81.974761904761905</c:v>
                </c:pt>
                <c:pt idx="332">
                  <c:v>84.314761904761895</c:v>
                </c:pt>
                <c:pt idx="333">
                  <c:v>89.233181818181805</c:v>
                </c:pt>
                <c:pt idx="334">
                  <c:v>89.578499999999991</c:v>
                </c:pt>
                <c:pt idx="335">
                  <c:v>89.743157894736854</c:v>
                </c:pt>
                <c:pt idx="336">
                  <c:v>102.98130434782607</c:v>
                </c:pt>
                <c:pt idx="337">
                  <c:v>110.0385</c:v>
                </c:pt>
                <c:pt idx="338">
                  <c:v>101.35666666666665</c:v>
                </c:pt>
                <c:pt idx="339">
                  <c:v>96.288636363636385</c:v>
                </c:pt>
                <c:pt idx="340">
                  <c:v>97.340500000000006</c:v>
                </c:pt>
                <c:pt idx="341">
                  <c:v>86.340869565217403</c:v>
                </c:pt>
                <c:pt idx="342">
                  <c:v>85.610000000000014</c:v>
                </c:pt>
                <c:pt idx="343">
                  <c:v>86.428095238095239</c:v>
                </c:pt>
                <c:pt idx="344">
                  <c:v>97.162857142857135</c:v>
                </c:pt>
                <c:pt idx="345">
                  <c:v>98.575714285714298</c:v>
                </c:pt>
                <c:pt idx="346">
                  <c:v>100.31850000000001</c:v>
                </c:pt>
                <c:pt idx="347">
                  <c:v>102.26249999999997</c:v>
                </c:pt>
                <c:pt idx="348">
                  <c:v>106.20499999999998</c:v>
                </c:pt>
                <c:pt idx="349">
                  <c:v>103.346</c:v>
                </c:pt>
                <c:pt idx="350">
                  <c:v>94.715909090909093</c:v>
                </c:pt>
                <c:pt idx="351">
                  <c:v>82.40523809523809</c:v>
                </c:pt>
                <c:pt idx="352">
                  <c:v>87.870000000000033</c:v>
                </c:pt>
                <c:pt idx="353">
                  <c:v>94.160869565217382</c:v>
                </c:pt>
                <c:pt idx="354">
                  <c:v>94.558421052631587</c:v>
                </c:pt>
                <c:pt idx="355">
                  <c:v>89.570869565217379</c:v>
                </c:pt>
                <c:pt idx="356">
                  <c:v>86.732380952380964</c:v>
                </c:pt>
                <c:pt idx="357">
                  <c:v>88.245499999999993</c:v>
                </c:pt>
                <c:pt idx="358">
                  <c:v>94.828571428571436</c:v>
                </c:pt>
                <c:pt idx="359">
                  <c:v>95.321578947368408</c:v>
                </c:pt>
                <c:pt idx="360">
                  <c:v>92.957000000000008</c:v>
                </c:pt>
                <c:pt idx="361">
                  <c:v>92.067727272727282</c:v>
                </c:pt>
                <c:pt idx="362">
                  <c:v>94.799545454545466</c:v>
                </c:pt>
                <c:pt idx="363">
                  <c:v>95.800500000000014</c:v>
                </c:pt>
                <c:pt idx="364">
                  <c:v>104.69863636363638</c:v>
                </c:pt>
                <c:pt idx="365">
                  <c:v>106.53863636363639</c:v>
                </c:pt>
                <c:pt idx="366">
                  <c:v>106.23499999999999</c:v>
                </c:pt>
                <c:pt idx="367">
                  <c:v>100.55260869565215</c:v>
                </c:pt>
                <c:pt idx="368">
                  <c:v>93.931499999999986</c:v>
                </c:pt>
                <c:pt idx="369">
                  <c:v>97.894285714285701</c:v>
                </c:pt>
                <c:pt idx="370">
                  <c:v>94.856666666666669</c:v>
                </c:pt>
                <c:pt idx="371">
                  <c:v>100.67526315789473</c:v>
                </c:pt>
                <c:pt idx="372">
                  <c:v>100.50904761904765</c:v>
                </c:pt>
                <c:pt idx="373">
                  <c:v>102.03476190476188</c:v>
                </c:pt>
                <c:pt idx="374">
                  <c:v>101.79476190476188</c:v>
                </c:pt>
                <c:pt idx="375">
                  <c:v>105.14666666666666</c:v>
                </c:pt>
                <c:pt idx="376">
                  <c:v>102.39181818181818</c:v>
                </c:pt>
                <c:pt idx="377">
                  <c:v>96.076190476190476</c:v>
                </c:pt>
                <c:pt idx="378">
                  <c:v>93.034285714285701</c:v>
                </c:pt>
                <c:pt idx="379">
                  <c:v>84.339130434782604</c:v>
                </c:pt>
                <c:pt idx="380">
                  <c:v>75.81</c:v>
                </c:pt>
                <c:pt idx="381">
                  <c:v>59.28954545454544</c:v>
                </c:pt>
                <c:pt idx="382">
                  <c:v>47.325499999999998</c:v>
                </c:pt>
                <c:pt idx="383">
                  <c:v>50.723157894736836</c:v>
                </c:pt>
                <c:pt idx="384">
                  <c:v>47.854090909090907</c:v>
                </c:pt>
                <c:pt idx="385">
                  <c:v>54.628095238095241</c:v>
                </c:pt>
                <c:pt idx="386">
                  <c:v>59.372</c:v>
                </c:pt>
                <c:pt idx="387">
                  <c:v>59.828636363636377</c:v>
                </c:pt>
                <c:pt idx="388">
                  <c:v>50.929999999999993</c:v>
                </c:pt>
                <c:pt idx="389">
                  <c:v>42.889047619047624</c:v>
                </c:pt>
                <c:pt idx="390">
                  <c:v>45.465238095238092</c:v>
                </c:pt>
                <c:pt idx="391">
                  <c:v>46.289545454545454</c:v>
                </c:pt>
                <c:pt idx="392">
                  <c:v>42.922999999999995</c:v>
                </c:pt>
                <c:pt idx="393">
                  <c:v>37.327272727272728</c:v>
                </c:pt>
                <c:pt idx="394">
                  <c:v>31.77578947368421</c:v>
                </c:pt>
                <c:pt idx="395">
                  <c:v>30.616500000000002</c:v>
                </c:pt>
                <c:pt idx="396">
                  <c:v>37.960909090909098</c:v>
                </c:pt>
                <c:pt idx="397">
                  <c:v>41.124761904761897</c:v>
                </c:pt>
                <c:pt idx="398">
                  <c:v>46.796666666666681</c:v>
                </c:pt>
                <c:pt idx="399">
                  <c:v>48.853181818181831</c:v>
                </c:pt>
                <c:pt idx="400">
                  <c:v>44.799500000000009</c:v>
                </c:pt>
                <c:pt idx="401">
                  <c:v>44.799130434782612</c:v>
                </c:pt>
                <c:pt idx="402">
                  <c:v>45.225714285714282</c:v>
                </c:pt>
                <c:pt idx="403">
                  <c:v>49.94</c:v>
                </c:pt>
                <c:pt idx="404">
                  <c:v>45.764285714285712</c:v>
                </c:pt>
                <c:pt idx="405">
                  <c:v>52.165714285714287</c:v>
                </c:pt>
                <c:pt idx="406">
                  <c:v>52.608499999999992</c:v>
                </c:pt>
                <c:pt idx="407">
                  <c:v>53.462105263157902</c:v>
                </c:pt>
                <c:pt idx="408">
                  <c:v>49.673913043478258</c:v>
                </c:pt>
                <c:pt idx="409">
                  <c:v>51.117368421052632</c:v>
                </c:pt>
                <c:pt idx="410">
                  <c:v>48.539545454545461</c:v>
                </c:pt>
                <c:pt idx="411">
                  <c:v>45.195909090909083</c:v>
                </c:pt>
                <c:pt idx="412">
                  <c:v>46.694285714285712</c:v>
                </c:pt>
                <c:pt idx="413">
                  <c:v>48.057826086956517</c:v>
                </c:pt>
                <c:pt idx="414">
                  <c:v>49.876999999999995</c:v>
                </c:pt>
                <c:pt idx="415">
                  <c:v>51.594545454545461</c:v>
                </c:pt>
                <c:pt idx="416">
                  <c:v>56.748636363636365</c:v>
                </c:pt>
                <c:pt idx="417">
                  <c:v>57.947000000000003</c:v>
                </c:pt>
                <c:pt idx="418">
                  <c:v>63.711818181818188</c:v>
                </c:pt>
                <c:pt idx="419">
                  <c:v>62.188500000000012</c:v>
                </c:pt>
                <c:pt idx="420">
                  <c:v>62.771904761904764</c:v>
                </c:pt>
                <c:pt idx="421">
                  <c:v>66.326190476190476</c:v>
                </c:pt>
                <c:pt idx="422">
                  <c:v>69.832608695652183</c:v>
                </c:pt>
                <c:pt idx="423">
                  <c:v>67.322857142857146</c:v>
                </c:pt>
                <c:pt idx="424">
                  <c:v>70.652272727272731</c:v>
                </c:pt>
                <c:pt idx="425">
                  <c:v>67.845217391304345</c:v>
                </c:pt>
                <c:pt idx="426">
                  <c:v>70.060999999999993</c:v>
                </c:pt>
                <c:pt idx="427">
                  <c:v>70.757826086956513</c:v>
                </c:pt>
                <c:pt idx="428">
                  <c:v>56.56454545454546</c:v>
                </c:pt>
              </c:numCache>
            </c:numRef>
          </c:val>
          <c:smooth val="0"/>
          <c:extLst>
            <c:ext xmlns:c16="http://schemas.microsoft.com/office/drawing/2014/chart" uri="{C3380CC4-5D6E-409C-BE32-E72D297353CC}">
              <c16:uniqueId val="{00000000-8E92-FC43-B3FD-B4D5F15B8F98}"/>
            </c:ext>
          </c:extLst>
        </c:ser>
        <c:dLbls>
          <c:showLegendKey val="0"/>
          <c:showVal val="0"/>
          <c:showCatName val="0"/>
          <c:showSerName val="0"/>
          <c:showPercent val="0"/>
          <c:showBubbleSize val="0"/>
        </c:dLbls>
        <c:smooth val="0"/>
        <c:axId val="203370496"/>
        <c:axId val="318470912"/>
      </c:lineChart>
      <c:dateAx>
        <c:axId val="203370496"/>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18470912"/>
        <c:crosses val="autoZero"/>
        <c:auto val="1"/>
        <c:lblOffset val="100"/>
        <c:baseTimeUnit val="months"/>
      </c:dateAx>
      <c:valAx>
        <c:axId val="318470912"/>
        <c:scaling>
          <c:orientation val="minMax"/>
        </c:scaling>
        <c:delete val="0"/>
        <c:axPos val="l"/>
        <c:numFmt formatCode="#,##0_ "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20337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Sheet1!$A$64:$A$111</c:f>
              <c:numCache>
                <c:formatCode>yyyy;@</c:formatCode>
                <c:ptCount val="48"/>
                <c:pt idx="0">
                  <c:v>25933</c:v>
                </c:pt>
                <c:pt idx="1">
                  <c:v>26298</c:v>
                </c:pt>
                <c:pt idx="2">
                  <c:v>26664</c:v>
                </c:pt>
                <c:pt idx="3">
                  <c:v>27029</c:v>
                </c:pt>
                <c:pt idx="4">
                  <c:v>27394</c:v>
                </c:pt>
                <c:pt idx="5">
                  <c:v>27759</c:v>
                </c:pt>
                <c:pt idx="6">
                  <c:v>28125</c:v>
                </c:pt>
                <c:pt idx="7">
                  <c:v>28490</c:v>
                </c:pt>
                <c:pt idx="8">
                  <c:v>28855</c:v>
                </c:pt>
                <c:pt idx="9">
                  <c:v>29220</c:v>
                </c:pt>
                <c:pt idx="10">
                  <c:v>29586</c:v>
                </c:pt>
                <c:pt idx="11">
                  <c:v>29951</c:v>
                </c:pt>
                <c:pt idx="12">
                  <c:v>30316</c:v>
                </c:pt>
                <c:pt idx="13">
                  <c:v>30681</c:v>
                </c:pt>
                <c:pt idx="14">
                  <c:v>31047</c:v>
                </c:pt>
                <c:pt idx="15">
                  <c:v>31412</c:v>
                </c:pt>
                <c:pt idx="16">
                  <c:v>31777</c:v>
                </c:pt>
                <c:pt idx="17">
                  <c:v>32142</c:v>
                </c:pt>
                <c:pt idx="18">
                  <c:v>32508</c:v>
                </c:pt>
                <c:pt idx="19">
                  <c:v>32873</c:v>
                </c:pt>
                <c:pt idx="20">
                  <c:v>33238</c:v>
                </c:pt>
                <c:pt idx="21">
                  <c:v>33603</c:v>
                </c:pt>
                <c:pt idx="22">
                  <c:v>33969</c:v>
                </c:pt>
                <c:pt idx="23">
                  <c:v>34334</c:v>
                </c:pt>
                <c:pt idx="24">
                  <c:v>34699</c:v>
                </c:pt>
                <c:pt idx="25">
                  <c:v>35064</c:v>
                </c:pt>
                <c:pt idx="26">
                  <c:v>35430</c:v>
                </c:pt>
                <c:pt idx="27">
                  <c:v>35795</c:v>
                </c:pt>
                <c:pt idx="28">
                  <c:v>36160</c:v>
                </c:pt>
                <c:pt idx="29">
                  <c:v>36525</c:v>
                </c:pt>
                <c:pt idx="30">
                  <c:v>36891</c:v>
                </c:pt>
                <c:pt idx="31">
                  <c:v>37256</c:v>
                </c:pt>
                <c:pt idx="32">
                  <c:v>37621</c:v>
                </c:pt>
                <c:pt idx="33">
                  <c:v>37986</c:v>
                </c:pt>
                <c:pt idx="34">
                  <c:v>38352</c:v>
                </c:pt>
                <c:pt idx="35">
                  <c:v>38717</c:v>
                </c:pt>
                <c:pt idx="36">
                  <c:v>39082</c:v>
                </c:pt>
                <c:pt idx="37">
                  <c:v>39447</c:v>
                </c:pt>
                <c:pt idx="38">
                  <c:v>39813</c:v>
                </c:pt>
                <c:pt idx="39">
                  <c:v>40178</c:v>
                </c:pt>
                <c:pt idx="40">
                  <c:v>40543</c:v>
                </c:pt>
                <c:pt idx="41">
                  <c:v>40908</c:v>
                </c:pt>
                <c:pt idx="42">
                  <c:v>41274</c:v>
                </c:pt>
                <c:pt idx="43">
                  <c:v>41639</c:v>
                </c:pt>
                <c:pt idx="44">
                  <c:v>42004</c:v>
                </c:pt>
                <c:pt idx="45">
                  <c:v>42369</c:v>
                </c:pt>
                <c:pt idx="46">
                  <c:v>42735</c:v>
                </c:pt>
                <c:pt idx="47">
                  <c:v>43100</c:v>
                </c:pt>
              </c:numCache>
            </c:numRef>
          </c:cat>
          <c:val>
            <c:numRef>
              <c:f>Sheet1!$B$64:$B$111</c:f>
              <c:numCache>
                <c:formatCode>#,##0.0_ </c:formatCode>
                <c:ptCount val="48"/>
                <c:pt idx="0">
                  <c:v>1.8</c:v>
                </c:pt>
                <c:pt idx="1">
                  <c:v>2.2400000000000002</c:v>
                </c:pt>
                <c:pt idx="2">
                  <c:v>2.48</c:v>
                </c:pt>
                <c:pt idx="3">
                  <c:v>3.29</c:v>
                </c:pt>
                <c:pt idx="4">
                  <c:v>11.58</c:v>
                </c:pt>
                <c:pt idx="5">
                  <c:v>11.53</c:v>
                </c:pt>
                <c:pt idx="6">
                  <c:v>12.8</c:v>
                </c:pt>
                <c:pt idx="7">
                  <c:v>13.92</c:v>
                </c:pt>
                <c:pt idx="8">
                  <c:v>14.02</c:v>
                </c:pt>
                <c:pt idx="9">
                  <c:v>31.61</c:v>
                </c:pt>
                <c:pt idx="10">
                  <c:v>36.83</c:v>
                </c:pt>
                <c:pt idx="11">
                  <c:v>35.93</c:v>
                </c:pt>
                <c:pt idx="12">
                  <c:v>32.97</c:v>
                </c:pt>
                <c:pt idx="13">
                  <c:v>29.55</c:v>
                </c:pt>
                <c:pt idx="14">
                  <c:v>28.78</c:v>
                </c:pt>
                <c:pt idx="15">
                  <c:v>27.56</c:v>
                </c:pt>
                <c:pt idx="16">
                  <c:v>14.43</c:v>
                </c:pt>
                <c:pt idx="17">
                  <c:v>18.440000000000001</c:v>
                </c:pt>
                <c:pt idx="18">
                  <c:v>14.92</c:v>
                </c:pt>
                <c:pt idx="19">
                  <c:v>18.23</c:v>
                </c:pt>
                <c:pt idx="20">
                  <c:v>23.73</c:v>
                </c:pt>
                <c:pt idx="21">
                  <c:v>20</c:v>
                </c:pt>
                <c:pt idx="22">
                  <c:v>19.32</c:v>
                </c:pt>
                <c:pt idx="23">
                  <c:v>16.97</c:v>
                </c:pt>
                <c:pt idx="24">
                  <c:v>15.82</c:v>
                </c:pt>
                <c:pt idx="25">
                  <c:v>17.02</c:v>
                </c:pt>
                <c:pt idx="26">
                  <c:v>20.67</c:v>
                </c:pt>
                <c:pt idx="27">
                  <c:v>19.09</c:v>
                </c:pt>
                <c:pt idx="28">
                  <c:v>12.72</c:v>
                </c:pt>
                <c:pt idx="29">
                  <c:v>17.97</c:v>
                </c:pt>
                <c:pt idx="30">
                  <c:v>28.5</c:v>
                </c:pt>
                <c:pt idx="31">
                  <c:v>24.44</c:v>
                </c:pt>
                <c:pt idx="32">
                  <c:v>25.02</c:v>
                </c:pt>
                <c:pt idx="33">
                  <c:v>28.83</c:v>
                </c:pt>
                <c:pt idx="34">
                  <c:v>38.270000000000003</c:v>
                </c:pt>
                <c:pt idx="35">
                  <c:v>54.52</c:v>
                </c:pt>
                <c:pt idx="36">
                  <c:v>65.14</c:v>
                </c:pt>
                <c:pt idx="37">
                  <c:v>72.39</c:v>
                </c:pt>
                <c:pt idx="38">
                  <c:v>97.26</c:v>
                </c:pt>
                <c:pt idx="39">
                  <c:v>61.67</c:v>
                </c:pt>
                <c:pt idx="40">
                  <c:v>79.5</c:v>
                </c:pt>
                <c:pt idx="41">
                  <c:v>111.26</c:v>
                </c:pt>
                <c:pt idx="42">
                  <c:v>111.67</c:v>
                </c:pt>
                <c:pt idx="43">
                  <c:v>108.66</c:v>
                </c:pt>
                <c:pt idx="44">
                  <c:v>98.95</c:v>
                </c:pt>
                <c:pt idx="45">
                  <c:v>52.39</c:v>
                </c:pt>
                <c:pt idx="46">
                  <c:v>43.734169999999999</c:v>
                </c:pt>
                <c:pt idx="47">
                  <c:v>54.19</c:v>
                </c:pt>
              </c:numCache>
            </c:numRef>
          </c:val>
          <c:smooth val="0"/>
          <c:extLst>
            <c:ext xmlns:c16="http://schemas.microsoft.com/office/drawing/2014/chart" uri="{C3380CC4-5D6E-409C-BE32-E72D297353CC}">
              <c16:uniqueId val="{00000000-1B26-1C4C-8E0E-CFF720ADD57C}"/>
            </c:ext>
          </c:extLst>
        </c:ser>
        <c:dLbls>
          <c:showLegendKey val="0"/>
          <c:showVal val="0"/>
          <c:showCatName val="0"/>
          <c:showSerName val="0"/>
          <c:showPercent val="0"/>
          <c:showBubbleSize val="0"/>
        </c:dLbls>
        <c:smooth val="0"/>
        <c:axId val="203167232"/>
        <c:axId val="353837632"/>
      </c:lineChart>
      <c:dateAx>
        <c:axId val="203167232"/>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353837632"/>
        <c:crosses val="autoZero"/>
        <c:auto val="1"/>
        <c:lblOffset val="100"/>
        <c:baseTimeUnit val="years"/>
      </c:dateAx>
      <c:valAx>
        <c:axId val="353837632"/>
        <c:scaling>
          <c:orientation val="minMax"/>
        </c:scaling>
        <c:delete val="0"/>
        <c:axPos val="l"/>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zh-CN"/>
          </a:p>
        </c:txPr>
        <c:crossAx val="203167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'II-10、外储、外汇占款、汇率、热钱（2017-11）'!$B$2</c:f>
              <c:strCache>
                <c:ptCount val="1"/>
                <c:pt idx="0">
                  <c:v>国家外汇储备（亿美元）</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cat>
            <c:numRef>
              <c:f>'II-10、外储、外汇占款、汇率、热钱（2017-11）'!$A$279:$A$313</c:f>
              <c:numCache>
                <c:formatCode>yyyy\-mm;@</c:formatCode>
                <c:ptCount val="35"/>
                <c:pt idx="0">
                  <c:v>42400</c:v>
                </c:pt>
                <c:pt idx="1">
                  <c:v>42429</c:v>
                </c:pt>
                <c:pt idx="2">
                  <c:v>42460</c:v>
                </c:pt>
                <c:pt idx="3">
                  <c:v>42490</c:v>
                </c:pt>
                <c:pt idx="4">
                  <c:v>42521</c:v>
                </c:pt>
                <c:pt idx="5">
                  <c:v>42551</c:v>
                </c:pt>
                <c:pt idx="6">
                  <c:v>42582</c:v>
                </c:pt>
                <c:pt idx="7">
                  <c:v>42613</c:v>
                </c:pt>
                <c:pt idx="8">
                  <c:v>42643</c:v>
                </c:pt>
                <c:pt idx="9">
                  <c:v>42674</c:v>
                </c:pt>
                <c:pt idx="10">
                  <c:v>42704</c:v>
                </c:pt>
                <c:pt idx="11">
                  <c:v>42735</c:v>
                </c:pt>
                <c:pt idx="12">
                  <c:v>42766</c:v>
                </c:pt>
                <c:pt idx="13">
                  <c:v>42794</c:v>
                </c:pt>
                <c:pt idx="14">
                  <c:v>42825</c:v>
                </c:pt>
                <c:pt idx="15">
                  <c:v>42855</c:v>
                </c:pt>
                <c:pt idx="16">
                  <c:v>42886</c:v>
                </c:pt>
                <c:pt idx="17">
                  <c:v>42916</c:v>
                </c:pt>
                <c:pt idx="18">
                  <c:v>42947</c:v>
                </c:pt>
                <c:pt idx="19">
                  <c:v>42978</c:v>
                </c:pt>
                <c:pt idx="20">
                  <c:v>43008</c:v>
                </c:pt>
                <c:pt idx="21">
                  <c:v>43039</c:v>
                </c:pt>
                <c:pt idx="22">
                  <c:v>43069</c:v>
                </c:pt>
                <c:pt idx="23">
                  <c:v>43100</c:v>
                </c:pt>
                <c:pt idx="24">
                  <c:v>43131</c:v>
                </c:pt>
                <c:pt idx="25">
                  <c:v>43159</c:v>
                </c:pt>
                <c:pt idx="26">
                  <c:v>43190</c:v>
                </c:pt>
                <c:pt idx="27">
                  <c:v>43220</c:v>
                </c:pt>
                <c:pt idx="28">
                  <c:v>43251</c:v>
                </c:pt>
                <c:pt idx="29">
                  <c:v>43281</c:v>
                </c:pt>
                <c:pt idx="30">
                  <c:v>43312</c:v>
                </c:pt>
                <c:pt idx="31">
                  <c:v>43343</c:v>
                </c:pt>
                <c:pt idx="32">
                  <c:v>43373</c:v>
                </c:pt>
                <c:pt idx="33">
                  <c:v>43404</c:v>
                </c:pt>
                <c:pt idx="34">
                  <c:v>43434</c:v>
                </c:pt>
              </c:numCache>
            </c:numRef>
          </c:cat>
          <c:val>
            <c:numRef>
              <c:f>'II-10、外储、外汇占款、汇率、热钱（2017-11）'!$B$279:$B$313</c:f>
              <c:numCache>
                <c:formatCode>0_ </c:formatCode>
                <c:ptCount val="35"/>
                <c:pt idx="0">
                  <c:v>32308.93</c:v>
                </c:pt>
                <c:pt idx="1">
                  <c:v>32023.21</c:v>
                </c:pt>
                <c:pt idx="2">
                  <c:v>32125.79</c:v>
                </c:pt>
                <c:pt idx="3">
                  <c:v>32196.68</c:v>
                </c:pt>
                <c:pt idx="4">
                  <c:v>31917.360000000001</c:v>
                </c:pt>
                <c:pt idx="5">
                  <c:v>32051.62</c:v>
                </c:pt>
                <c:pt idx="6">
                  <c:v>32010.57</c:v>
                </c:pt>
                <c:pt idx="7">
                  <c:v>31851.67</c:v>
                </c:pt>
                <c:pt idx="8">
                  <c:v>31663.82</c:v>
                </c:pt>
                <c:pt idx="9">
                  <c:v>31206.55</c:v>
                </c:pt>
                <c:pt idx="10">
                  <c:v>30515.98</c:v>
                </c:pt>
                <c:pt idx="11">
                  <c:v>30105.17</c:v>
                </c:pt>
                <c:pt idx="12">
                  <c:v>29982.04</c:v>
                </c:pt>
                <c:pt idx="13">
                  <c:v>30051.24</c:v>
                </c:pt>
                <c:pt idx="14">
                  <c:v>30090.880000000001</c:v>
                </c:pt>
                <c:pt idx="15">
                  <c:v>30295.33</c:v>
                </c:pt>
                <c:pt idx="16">
                  <c:v>30535.67</c:v>
                </c:pt>
                <c:pt idx="17">
                  <c:v>30567.89</c:v>
                </c:pt>
                <c:pt idx="18">
                  <c:v>30807.200000000001</c:v>
                </c:pt>
                <c:pt idx="19">
                  <c:v>30915.27</c:v>
                </c:pt>
                <c:pt idx="20">
                  <c:v>31085.1</c:v>
                </c:pt>
                <c:pt idx="21">
                  <c:v>31092.13</c:v>
                </c:pt>
                <c:pt idx="22">
                  <c:v>31192.77</c:v>
                </c:pt>
                <c:pt idx="23">
                  <c:v>31399.49</c:v>
                </c:pt>
                <c:pt idx="24">
                  <c:v>31614.57</c:v>
                </c:pt>
                <c:pt idx="25">
                  <c:v>31344.82</c:v>
                </c:pt>
                <c:pt idx="26">
                  <c:v>31428.2</c:v>
                </c:pt>
                <c:pt idx="27">
                  <c:v>31248.52</c:v>
                </c:pt>
                <c:pt idx="28">
                  <c:v>31106.23</c:v>
                </c:pt>
                <c:pt idx="29">
                  <c:v>31121.29</c:v>
                </c:pt>
                <c:pt idx="30">
                  <c:v>31179.46</c:v>
                </c:pt>
                <c:pt idx="31">
                  <c:v>31097.16</c:v>
                </c:pt>
                <c:pt idx="32">
                  <c:v>30870.25</c:v>
                </c:pt>
                <c:pt idx="33">
                  <c:v>30530.98</c:v>
                </c:pt>
                <c:pt idx="34">
                  <c:v>30616.97</c:v>
                </c:pt>
              </c:numCache>
            </c:numRef>
          </c:val>
          <c:smooth val="0"/>
          <c:extLst>
            <c:ext xmlns:c16="http://schemas.microsoft.com/office/drawing/2014/chart" uri="{C3380CC4-5D6E-409C-BE32-E72D297353CC}">
              <c16:uniqueId val="{00000000-E3CF-5946-AC97-542DE9B94BF2}"/>
            </c:ext>
          </c:extLst>
        </c:ser>
        <c:dLbls>
          <c:showLegendKey val="0"/>
          <c:showVal val="0"/>
          <c:showCatName val="0"/>
          <c:showSerName val="0"/>
          <c:showPercent val="0"/>
          <c:showBubbleSize val="0"/>
        </c:dLbls>
        <c:marker val="1"/>
        <c:smooth val="0"/>
        <c:axId val="334995456"/>
        <c:axId val="249879296"/>
      </c:lineChart>
      <c:lineChart>
        <c:grouping val="standard"/>
        <c:varyColors val="0"/>
        <c:ser>
          <c:idx val="1"/>
          <c:order val="1"/>
          <c:tx>
            <c:strRef>
              <c:f>'II-10、外储、外汇占款、汇率、热钱（2017-11）'!$R$2</c:f>
              <c:strCache>
                <c:ptCount val="1"/>
                <c:pt idx="0">
                  <c:v>人民币/美元</c:v>
                </c:pt>
              </c:strCache>
            </c:strRef>
          </c:tx>
          <c:spPr>
            <a:ln w="28575" cap="rnd">
              <a:solidFill>
                <a:schemeClr val="accent2"/>
              </a:solidFill>
              <a:round/>
            </a:ln>
            <a:effectLst/>
          </c:spPr>
          <c:marker>
            <c:symbol val="none"/>
          </c:marker>
          <c:val>
            <c:numRef>
              <c:f>'II-10、外储、外汇占款、汇率、热钱（2017-11）'!$R$279:$R$313</c:f>
              <c:numCache>
                <c:formatCode>0.00_);[Red]\(0.00\)</c:formatCode>
                <c:ptCount val="35"/>
                <c:pt idx="0">
                  <c:v>6.5526999999999997</c:v>
                </c:pt>
                <c:pt idx="1">
                  <c:v>6.5311000000000003</c:v>
                </c:pt>
                <c:pt idx="2">
                  <c:v>6.5064000000000002</c:v>
                </c:pt>
                <c:pt idx="3">
                  <c:v>6.4762000000000004</c:v>
                </c:pt>
                <c:pt idx="4">
                  <c:v>6.5315000000000003</c:v>
                </c:pt>
                <c:pt idx="5">
                  <c:v>6.5873999999999997</c:v>
                </c:pt>
                <c:pt idx="6">
                  <c:v>6.6773999999999996</c:v>
                </c:pt>
                <c:pt idx="7">
                  <c:v>6.6474000000000002</c:v>
                </c:pt>
                <c:pt idx="8">
                  <c:v>6.6715</c:v>
                </c:pt>
                <c:pt idx="9">
                  <c:v>6.7442000000000002</c:v>
                </c:pt>
                <c:pt idx="10">
                  <c:v>6.8375000000000004</c:v>
                </c:pt>
                <c:pt idx="11">
                  <c:v>6.9181999999999997</c:v>
                </c:pt>
                <c:pt idx="12">
                  <c:v>6.8917999999999999</c:v>
                </c:pt>
                <c:pt idx="13">
                  <c:v>6.8712999999999997</c:v>
                </c:pt>
                <c:pt idx="14">
                  <c:v>6.8932000000000002</c:v>
                </c:pt>
                <c:pt idx="15">
                  <c:v>6.8845000000000001</c:v>
                </c:pt>
                <c:pt idx="16">
                  <c:v>6.8826999999999998</c:v>
                </c:pt>
                <c:pt idx="17">
                  <c:v>6.8018999999999998</c:v>
                </c:pt>
                <c:pt idx="18">
                  <c:v>6.7653999999999996</c:v>
                </c:pt>
                <c:pt idx="19">
                  <c:v>6.6736000000000004</c:v>
                </c:pt>
                <c:pt idx="20">
                  <c:v>6.5633999999999997</c:v>
                </c:pt>
                <c:pt idx="21">
                  <c:v>6.6154000000000002</c:v>
                </c:pt>
                <c:pt idx="22">
                  <c:v>6.6185999999999998</c:v>
                </c:pt>
                <c:pt idx="23">
                  <c:v>6.5941999999999998</c:v>
                </c:pt>
                <c:pt idx="24">
                  <c:v>6.4363999999999999</c:v>
                </c:pt>
                <c:pt idx="25">
                  <c:v>6.3162000000000003</c:v>
                </c:pt>
                <c:pt idx="26">
                  <c:v>6.3220000000000001</c:v>
                </c:pt>
                <c:pt idx="27">
                  <c:v>6.2975000000000003</c:v>
                </c:pt>
                <c:pt idx="28">
                  <c:v>6.3757999999999999</c:v>
                </c:pt>
                <c:pt idx="29">
                  <c:v>6.4555999999999996</c:v>
                </c:pt>
                <c:pt idx="30">
                  <c:v>6.7034000000000002</c:v>
                </c:pt>
                <c:pt idx="31">
                  <c:v>6.8433000000000002</c:v>
                </c:pt>
                <c:pt idx="32">
                  <c:v>6.9264000000000001</c:v>
                </c:pt>
                <c:pt idx="33">
                  <c:v>6.9351000000000003</c:v>
                </c:pt>
                <c:pt idx="34">
                  <c:v>6.9351000000000003</c:v>
                </c:pt>
              </c:numCache>
            </c:numRef>
          </c:val>
          <c:smooth val="0"/>
          <c:extLst>
            <c:ext xmlns:c16="http://schemas.microsoft.com/office/drawing/2014/chart" uri="{C3380CC4-5D6E-409C-BE32-E72D297353CC}">
              <c16:uniqueId val="{00000001-E3CF-5946-AC97-542DE9B94BF2}"/>
            </c:ext>
          </c:extLst>
        </c:ser>
        <c:dLbls>
          <c:showLegendKey val="0"/>
          <c:showVal val="0"/>
          <c:showCatName val="0"/>
          <c:showSerName val="0"/>
          <c:showPercent val="0"/>
          <c:showBubbleSize val="0"/>
        </c:dLbls>
        <c:marker val="1"/>
        <c:smooth val="0"/>
        <c:axId val="193265664"/>
        <c:axId val="252190720"/>
      </c:lineChart>
      <c:dateAx>
        <c:axId val="334995456"/>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49879296"/>
        <c:crosses val="autoZero"/>
        <c:auto val="1"/>
        <c:lblOffset val="100"/>
        <c:baseTimeUnit val="months"/>
      </c:dateAx>
      <c:valAx>
        <c:axId val="249879296"/>
        <c:scaling>
          <c:orientation val="minMax"/>
          <c:min val="29500"/>
        </c:scaling>
        <c:delete val="0"/>
        <c:axPos val="l"/>
        <c:numFmt formatCode="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34995456"/>
        <c:crosses val="autoZero"/>
        <c:crossBetween val="between"/>
      </c:valAx>
      <c:valAx>
        <c:axId val="252190720"/>
        <c:scaling>
          <c:orientation val="minMax"/>
          <c:min val="6.2"/>
        </c:scaling>
        <c:delete val="0"/>
        <c:axPos val="r"/>
        <c:numFmt formatCode="0.00_);[Red]\(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3265664"/>
        <c:crosses val="max"/>
        <c:crossBetween val="between"/>
      </c:valAx>
      <c:catAx>
        <c:axId val="193265664"/>
        <c:scaling>
          <c:orientation val="minMax"/>
        </c:scaling>
        <c:delete val="1"/>
        <c:axPos val="b"/>
        <c:majorTickMark val="out"/>
        <c:minorTickMark val="none"/>
        <c:tickLblPos val="nextTo"/>
        <c:crossAx val="2521907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美元计价累积出口增长率（%）</c:v>
          </c:tx>
          <c:spPr>
            <a:ln w="28575" cap="rnd">
              <a:solidFill>
                <a:schemeClr val="accent1"/>
              </a:solidFill>
              <a:round/>
            </a:ln>
            <a:effectLst/>
          </c:spPr>
          <c:marker>
            <c:symbol val="triangle"/>
            <c:size val="5"/>
            <c:spPr>
              <a:solidFill>
                <a:schemeClr val="accent1"/>
              </a:solidFill>
              <a:ln w="9525">
                <a:solidFill>
                  <a:schemeClr val="accent1"/>
                </a:solidFill>
              </a:ln>
              <a:effectLst/>
            </c:spPr>
          </c:marker>
          <c:cat>
            <c:numRef>
              <c:f>'（NX）进出口(一般+加工)+利用外资+中国的对外投资'!$A$292:$A$302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'（NX）进出口(一般+加工)+利用外资+中国的对外投资'!$M$292:$M$302</c:f>
              <c:numCache>
                <c:formatCode>0.0_);[Red]\(0.0\)</c:formatCode>
                <c:ptCount val="11"/>
                <c:pt idx="0">
                  <c:v>10.683781844890333</c:v>
                </c:pt>
                <c:pt idx="1">
                  <c:v>23.920571460654585</c:v>
                </c:pt>
                <c:pt idx="2">
                  <c:v>13.358520873108404</c:v>
                </c:pt>
                <c:pt idx="3">
                  <c:v>12.943024529276641</c:v>
                </c:pt>
                <c:pt idx="4">
                  <c:v>12.701549949288179</c:v>
                </c:pt>
                <c:pt idx="5">
                  <c:v>12.337899066258842</c:v>
                </c:pt>
                <c:pt idx="6">
                  <c:v>12.29287711531515</c:v>
                </c:pt>
                <c:pt idx="7">
                  <c:v>11.817585808261839</c:v>
                </c:pt>
                <c:pt idx="8">
                  <c:v>12.127684808924272</c:v>
                </c:pt>
                <c:pt idx="9">
                  <c:v>12.413320322486612</c:v>
                </c:pt>
                <c:pt idx="10">
                  <c:v>11.581956111176666</c:v>
                </c:pt>
              </c:numCache>
            </c:numRef>
          </c:val>
          <c:smooth val="0"/>
          <c:extLst>
            <c:ext xmlns:c16="http://schemas.microsoft.com/office/drawing/2014/chart" uri="{C3380CC4-5D6E-409C-BE32-E72D297353CC}">
              <c16:uniqueId val="{00000000-AAEE-5744-AFE6-BBA6FC1E9761}"/>
            </c:ext>
          </c:extLst>
        </c:ser>
        <c:ser>
          <c:idx val="1"/>
          <c:order val="1"/>
          <c:tx>
            <c:v>美元计价累积进口增长率（%）</c:v>
          </c:tx>
          <c:spPr>
            <a:ln w="28575" cap="rnd">
              <a:solidFill>
                <a:schemeClr val="accent2"/>
              </a:solidFill>
              <a:round/>
            </a:ln>
            <a:effectLst/>
          </c:spPr>
          <c:marker>
            <c:symbol val="square"/>
            <c:size val="5"/>
            <c:spPr>
              <a:solidFill>
                <a:schemeClr val="accent2"/>
              </a:solidFill>
              <a:ln w="9525">
                <a:solidFill>
                  <a:schemeClr val="accent2"/>
                </a:solidFill>
              </a:ln>
              <a:effectLst/>
            </c:spPr>
          </c:marker>
          <c:cat>
            <c:numRef>
              <c:f>'（NX）进出口(一般+加工)+利用外资+中国的对外投资'!$A$292:$A$302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'（NX）进出口(一般+加工)+利用外资+中国的对外投资'!$P$292:$P$302</c:f>
              <c:numCache>
                <c:formatCode>0.0_);[Red]\(0.0\)</c:formatCode>
                <c:ptCount val="11"/>
                <c:pt idx="0">
                  <c:v>36.59187528967783</c:v>
                </c:pt>
                <c:pt idx="1">
                  <c:v>21.661590248521151</c:v>
                </c:pt>
                <c:pt idx="2">
                  <c:v>19.241095628816666</c:v>
                </c:pt>
                <c:pt idx="3">
                  <c:v>19.802461838788091</c:v>
                </c:pt>
                <c:pt idx="4">
                  <c:v>21.095150522815501</c:v>
                </c:pt>
                <c:pt idx="5">
                  <c:v>19.839043922271756</c:v>
                </c:pt>
                <c:pt idx="6">
                  <c:v>21.046377891418743</c:v>
                </c:pt>
                <c:pt idx="7">
                  <c:v>20.984899622104592</c:v>
                </c:pt>
                <c:pt idx="8">
                  <c:v>20.224436800791651</c:v>
                </c:pt>
                <c:pt idx="9">
                  <c:v>20.294947953725398</c:v>
                </c:pt>
                <c:pt idx="10">
                  <c:v>18.464088339066564</c:v>
                </c:pt>
              </c:numCache>
            </c:numRef>
          </c:val>
          <c:smooth val="0"/>
          <c:extLst>
            <c:ext xmlns:c16="http://schemas.microsoft.com/office/drawing/2014/chart" uri="{C3380CC4-5D6E-409C-BE32-E72D297353CC}">
              <c16:uniqueId val="{00000001-AAEE-5744-AFE6-BBA6FC1E9761}"/>
            </c:ext>
          </c:extLst>
        </c:ser>
        <c:ser>
          <c:idx val="2"/>
          <c:order val="2"/>
          <c:tx>
            <c:v>人民币计价累积出口增长率（%）</c:v>
          </c:tx>
          <c:spPr>
            <a:ln w="28575" cap="rnd">
              <a:solidFill>
                <a:schemeClr val="accent3"/>
              </a:solidFill>
              <a:round/>
            </a:ln>
            <a:effectLst/>
          </c:spPr>
          <c:marker>
            <c:symbol val="dash"/>
            <c:size val="5"/>
            <c:spPr>
              <a:solidFill>
                <a:schemeClr val="accent3"/>
              </a:solidFill>
              <a:ln w="9525">
                <a:solidFill>
                  <a:schemeClr val="accent3"/>
                </a:solidFill>
              </a:ln>
              <a:effectLst/>
            </c:spPr>
          </c:marker>
          <c:cat>
            <c:numRef>
              <c:f>'（NX）进出口(一般+加工)+利用外资+中国的对外投资'!$A$292:$A$302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'（NX）进出口(一般+加工)+利用外资+中国的对外投资'!$AI$292:$AI$302</c:f>
              <c:numCache>
                <c:formatCode>0.0_ ;[Red]\-0.0\ </c:formatCode>
                <c:ptCount val="11"/>
                <c:pt idx="0">
                  <c:v>4.654212873274048</c:v>
                </c:pt>
                <c:pt idx="1">
                  <c:v>16.521542938650342</c:v>
                </c:pt>
                <c:pt idx="2">
                  <c:v>6.4275147751369417</c:v>
                </c:pt>
                <c:pt idx="3">
                  <c:v>5.319568636575994</c:v>
                </c:pt>
                <c:pt idx="4">
                  <c:v>4.5973309305660877</c:v>
                </c:pt>
                <c:pt idx="5">
                  <c:v>4.1330146968586234</c:v>
                </c:pt>
                <c:pt idx="6">
                  <c:v>4.290974292108956</c:v>
                </c:pt>
                <c:pt idx="7">
                  <c:v>4.6098981069798413</c:v>
                </c:pt>
                <c:pt idx="8">
                  <c:v>6.0536455239400766</c:v>
                </c:pt>
                <c:pt idx="9">
                  <c:v>7.3661433831168068</c:v>
                </c:pt>
                <c:pt idx="10">
                  <c:v>7.5816273083586054</c:v>
                </c:pt>
              </c:numCache>
            </c:numRef>
          </c:val>
          <c:smooth val="0"/>
          <c:extLst>
            <c:ext xmlns:c16="http://schemas.microsoft.com/office/drawing/2014/chart" uri="{C3380CC4-5D6E-409C-BE32-E72D297353CC}">
              <c16:uniqueId val="{00000002-AAEE-5744-AFE6-BBA6FC1E9761}"/>
            </c:ext>
          </c:extLst>
        </c:ser>
        <c:ser>
          <c:idx val="3"/>
          <c:order val="3"/>
          <c:tx>
            <c:v>人民币计价累积进口增长率（%）</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'（NX）进出口(一般+加工)+利用外资+中国的对外投资'!$A$292:$A$302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'（NX）进出口(一般+加工)+利用外资+中国的对外投资'!$AL$292:$AL$302</c:f>
              <c:numCache>
                <c:formatCode>0.0_ ;[Red]\-0.0\ </c:formatCode>
                <c:ptCount val="11"/>
                <c:pt idx="0">
                  <c:v>30.47142943374692</c:v>
                </c:pt>
                <c:pt idx="1">
                  <c:v>15.525853246117549</c:v>
                </c:pt>
                <c:pt idx="2">
                  <c:v>11.895799234325708</c:v>
                </c:pt>
                <c:pt idx="3">
                  <c:v>11.692419686560655</c:v>
                </c:pt>
                <c:pt idx="4">
                  <c:v>12.341774743580046</c:v>
                </c:pt>
                <c:pt idx="5">
                  <c:v>11.17406422856817</c:v>
                </c:pt>
                <c:pt idx="6">
                  <c:v>12.623651092095173</c:v>
                </c:pt>
                <c:pt idx="7">
                  <c:v>13.506508474686413</c:v>
                </c:pt>
                <c:pt idx="8">
                  <c:v>14.05405772370824</c:v>
                </c:pt>
                <c:pt idx="9">
                  <c:v>15.209554867730617</c:v>
                </c:pt>
                <c:pt idx="10">
                  <c:v>14.458426416491221</c:v>
                </c:pt>
              </c:numCache>
            </c:numRef>
          </c:val>
          <c:smooth val="0"/>
          <c:extLst>
            <c:ext xmlns:c16="http://schemas.microsoft.com/office/drawing/2014/chart" uri="{C3380CC4-5D6E-409C-BE32-E72D297353CC}">
              <c16:uniqueId val="{00000003-AAEE-5744-AFE6-BBA6FC1E9761}"/>
            </c:ext>
          </c:extLst>
        </c:ser>
        <c:dLbls>
          <c:showLegendKey val="0"/>
          <c:showVal val="0"/>
          <c:showCatName val="0"/>
          <c:showSerName val="0"/>
          <c:showPercent val="0"/>
          <c:showBubbleSize val="0"/>
        </c:dLbls>
        <c:marker val="1"/>
        <c:smooth val="0"/>
        <c:axId val="193267712"/>
        <c:axId val="252192448"/>
      </c:lineChart>
      <c:dateAx>
        <c:axId val="193267712"/>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52192448"/>
        <c:crosses val="autoZero"/>
        <c:auto val="1"/>
        <c:lblOffset val="100"/>
        <c:baseTimeUnit val="months"/>
      </c:dateAx>
      <c:valAx>
        <c:axId val="252192448"/>
        <c:scaling>
          <c:orientation val="minMax"/>
        </c:scaling>
        <c:delete val="0"/>
        <c:axPos val="l"/>
        <c:numFmt formatCode="0.0_);[Red]\(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3267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实际利用外资累积同比增速</c:v>
          </c:tx>
          <c:spPr>
            <a:ln w="28575" cap="rnd">
              <a:solidFill>
                <a:schemeClr val="accent1"/>
              </a:solidFill>
              <a:round/>
            </a:ln>
            <a:effectLst/>
          </c:spPr>
          <c:marker>
            <c:symbol val="square"/>
            <c:size val="5"/>
          </c:marker>
          <c:cat>
            <c:numRef>
              <c:f>'（NX）进出口(一般+加工)+利用外资+中国的对外投资'!$A$292:$A$302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'（NX）进出口(一般+加工)+利用外资+中国的对外投资'!$D$292:$D$302</c:f>
              <c:numCache>
                <c:formatCode>0.0%</c:formatCode>
                <c:ptCount val="11"/>
                <c:pt idx="0">
                  <c:v>5.833333333333357E-3</c:v>
                </c:pt>
                <c:pt idx="1">
                  <c:v>1.6900048285852343E-2</c:v>
                </c:pt>
                <c:pt idx="2">
                  <c:v>2.0402128917800244E-2</c:v>
                </c:pt>
                <c:pt idx="3">
                  <c:v>2.0121665886757123E-2</c:v>
                </c:pt>
                <c:pt idx="4">
                  <c:v>3.5594886922320601E-2</c:v>
                </c:pt>
                <c:pt idx="5">
                  <c:v>4.0670220868240792E-2</c:v>
                </c:pt>
                <c:pt idx="6">
                  <c:v>5.4331254331254408E-2</c:v>
                </c:pt>
                <c:pt idx="7">
                  <c:v>6.1219482272113712E-2</c:v>
                </c:pt>
                <c:pt idx="8">
                  <c:v>6.3626492942453927E-2</c:v>
                </c:pt>
                <c:pt idx="9">
                  <c:v>6.4570354988628509E-2</c:v>
                </c:pt>
                <c:pt idx="10">
                  <c:v>1.1258443832874665E-2</c:v>
                </c:pt>
              </c:numCache>
            </c:numRef>
          </c:val>
          <c:smooth val="0"/>
          <c:extLst>
            <c:ext xmlns:c16="http://schemas.microsoft.com/office/drawing/2014/chart" uri="{C3380CC4-5D6E-409C-BE32-E72D297353CC}">
              <c16:uniqueId val="{00000000-41DE-4F40-866C-75EC1EF7AD5E}"/>
            </c:ext>
          </c:extLst>
        </c:ser>
        <c:dLbls>
          <c:showLegendKey val="0"/>
          <c:showVal val="0"/>
          <c:showCatName val="0"/>
          <c:showSerName val="0"/>
          <c:showPercent val="0"/>
          <c:showBubbleSize val="0"/>
        </c:dLbls>
        <c:marker val="1"/>
        <c:smooth val="0"/>
        <c:axId val="334998528"/>
        <c:axId val="252194176"/>
      </c:lineChart>
      <c:lineChart>
        <c:grouping val="standard"/>
        <c:varyColors val="0"/>
        <c:ser>
          <c:idx val="1"/>
          <c:order val="1"/>
          <c:tx>
            <c:v>非金融类对外直接投资累积增速</c:v>
          </c:tx>
          <c:spPr>
            <a:ln w="28575" cap="rnd">
              <a:solidFill>
                <a:schemeClr val="accent2"/>
              </a:solidFill>
              <a:round/>
            </a:ln>
            <a:effectLst/>
          </c:spPr>
          <c:marker>
            <c:symbol val="none"/>
          </c:marker>
          <c:cat>
            <c:numRef>
              <c:f>'（NX）进出口(一般+加工)+利用外资+中国的对外投资'!$A$292:$A$301</c:f>
              <c:numCache>
                <c:formatCode>yyyy\-mm</c:formatCode>
                <c:ptCount val="10"/>
                <c:pt idx="0">
                  <c:v>43131</c:v>
                </c:pt>
                <c:pt idx="1">
                  <c:v>43159</c:v>
                </c:pt>
                <c:pt idx="2">
                  <c:v>43190</c:v>
                </c:pt>
                <c:pt idx="3">
                  <c:v>43220</c:v>
                </c:pt>
                <c:pt idx="4">
                  <c:v>43251</c:v>
                </c:pt>
                <c:pt idx="5">
                  <c:v>43281</c:v>
                </c:pt>
                <c:pt idx="6">
                  <c:v>43312</c:v>
                </c:pt>
                <c:pt idx="7">
                  <c:v>43343</c:v>
                </c:pt>
                <c:pt idx="8">
                  <c:v>43373</c:v>
                </c:pt>
                <c:pt idx="9">
                  <c:v>43404</c:v>
                </c:pt>
              </c:numCache>
            </c:numRef>
          </c:cat>
          <c:val>
            <c:numRef>
              <c:f>'（NX）进出口(一般+加工)+利用外资+中国的对外投资'!$G$292:$G$301</c:f>
              <c:numCache>
                <c:formatCode>0.0%</c:formatCode>
                <c:ptCount val="10"/>
                <c:pt idx="0">
                  <c:v>0.39715394566623541</c:v>
                </c:pt>
                <c:pt idx="1">
                  <c:v>0.25241995532390149</c:v>
                </c:pt>
                <c:pt idx="2">
                  <c:v>0.24148003894839332</c:v>
                </c:pt>
                <c:pt idx="3">
                  <c:v>0.34926052332195678</c:v>
                </c:pt>
                <c:pt idx="4">
                  <c:v>0.38450419196299501</c:v>
                </c:pt>
                <c:pt idx="5">
                  <c:v>0.18655322681054165</c:v>
                </c:pt>
                <c:pt idx="6">
                  <c:v>0.14108391608391613</c:v>
                </c:pt>
                <c:pt idx="7">
                  <c:v>7.8143189755529585E-2</c:v>
                </c:pt>
                <c:pt idx="8">
                  <c:v>5.1134179161860915E-2</c:v>
                </c:pt>
                <c:pt idx="9">
                  <c:v>3.7770826091994003E-2</c:v>
                </c:pt>
              </c:numCache>
            </c:numRef>
          </c:val>
          <c:smooth val="0"/>
          <c:extLst>
            <c:ext xmlns:c16="http://schemas.microsoft.com/office/drawing/2014/chart" uri="{C3380CC4-5D6E-409C-BE32-E72D297353CC}">
              <c16:uniqueId val="{00000001-41DE-4F40-866C-75EC1EF7AD5E}"/>
            </c:ext>
          </c:extLst>
        </c:ser>
        <c:dLbls>
          <c:showLegendKey val="0"/>
          <c:showVal val="0"/>
          <c:showCatName val="0"/>
          <c:showSerName val="0"/>
          <c:showPercent val="0"/>
          <c:showBubbleSize val="0"/>
        </c:dLbls>
        <c:marker val="1"/>
        <c:smooth val="0"/>
        <c:axId val="335148544"/>
        <c:axId val="252194752"/>
      </c:lineChart>
      <c:dateAx>
        <c:axId val="334998528"/>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52194176"/>
        <c:crosses val="autoZero"/>
        <c:auto val="1"/>
        <c:lblOffset val="100"/>
        <c:baseTimeUnit val="months"/>
      </c:dateAx>
      <c:valAx>
        <c:axId val="2521941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34998528"/>
        <c:crosses val="autoZero"/>
        <c:crossBetween val="between"/>
      </c:valAx>
      <c:valAx>
        <c:axId val="25219475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35148544"/>
        <c:crosses val="max"/>
        <c:crossBetween val="between"/>
      </c:valAx>
      <c:dateAx>
        <c:axId val="335148544"/>
        <c:scaling>
          <c:orientation val="minMax"/>
        </c:scaling>
        <c:delete val="1"/>
        <c:axPos val="b"/>
        <c:numFmt formatCode="yyyy\-mm" sourceLinked="1"/>
        <c:majorTickMark val="out"/>
        <c:minorTickMark val="none"/>
        <c:tickLblPos val="nextTo"/>
        <c:crossAx val="252194752"/>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2825896762904"/>
          <c:y val="5.0925925925925923E-2"/>
          <c:w val="0.8601205161854768"/>
          <c:h val="0.58610783027121605"/>
        </c:manualLayout>
      </c:layout>
      <c:lineChart>
        <c:grouping val="standard"/>
        <c:varyColors val="0"/>
        <c:ser>
          <c:idx val="0"/>
          <c:order val="0"/>
          <c:tx>
            <c:strRef>
              <c:f>'1-2分行业名义+实际增长率'!$O$3</c:f>
              <c:strCache>
                <c:ptCount val="1"/>
                <c:pt idx="0">
                  <c:v>当季名义GDP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'1-2分行业名义+实际增长率'!$A$101:$A$111</c:f>
              <c:numCache>
                <c:formatCode>yyyy\-mm;@</c:formatCode>
                <c:ptCount val="11"/>
                <c:pt idx="0">
                  <c:v>42460</c:v>
                </c:pt>
                <c:pt idx="1">
                  <c:v>42551</c:v>
                </c:pt>
                <c:pt idx="2">
                  <c:v>42643</c:v>
                </c:pt>
                <c:pt idx="3">
                  <c:v>42735</c:v>
                </c:pt>
                <c:pt idx="4">
                  <c:v>42825</c:v>
                </c:pt>
                <c:pt idx="5">
                  <c:v>42916</c:v>
                </c:pt>
                <c:pt idx="6">
                  <c:v>43008</c:v>
                </c:pt>
                <c:pt idx="7">
                  <c:v>43100</c:v>
                </c:pt>
                <c:pt idx="8">
                  <c:v>43190</c:v>
                </c:pt>
                <c:pt idx="9">
                  <c:v>43281</c:v>
                </c:pt>
                <c:pt idx="10">
                  <c:v>43373</c:v>
                </c:pt>
              </c:numCache>
            </c:numRef>
          </c:cat>
          <c:val>
            <c:numRef>
              <c:f>'1-2分行业名义+实际增长率'!$O$101:$O$111</c:f>
              <c:numCache>
                <c:formatCode>0.0%</c:formatCode>
                <c:ptCount val="11"/>
                <c:pt idx="0">
                  <c:v>6.9341206874512729E-2</c:v>
                </c:pt>
                <c:pt idx="1">
                  <c:v>7.1880025874910158E-2</c:v>
                </c:pt>
                <c:pt idx="2">
                  <c:v>7.7258044800985193E-2</c:v>
                </c:pt>
                <c:pt idx="3">
                  <c:v>9.4888875867958689E-2</c:v>
                </c:pt>
                <c:pt idx="4">
                  <c:v>0.11723915387631201</c:v>
                </c:pt>
                <c:pt idx="5">
                  <c:v>0.11042106137364005</c:v>
                </c:pt>
                <c:pt idx="6">
                  <c:v>0.1115386575206172</c:v>
                </c:pt>
                <c:pt idx="7">
                  <c:v>0.11096682285791148</c:v>
                </c:pt>
                <c:pt idx="8">
                  <c:v>0.10199168114031476</c:v>
                </c:pt>
                <c:pt idx="9">
                  <c:v>9.7823230804746863E-2</c:v>
                </c:pt>
                <c:pt idx="10">
                  <c:v>9.6137205186310748E-2</c:v>
                </c:pt>
              </c:numCache>
            </c:numRef>
          </c:val>
          <c:smooth val="0"/>
          <c:extLst>
            <c:ext xmlns:c16="http://schemas.microsoft.com/office/drawing/2014/chart" uri="{C3380CC4-5D6E-409C-BE32-E72D297353CC}">
              <c16:uniqueId val="{00000000-3005-2448-B359-D34406E6901B}"/>
            </c:ext>
          </c:extLst>
        </c:ser>
        <c:ser>
          <c:idx val="1"/>
          <c:order val="1"/>
          <c:tx>
            <c:strRef>
              <c:f>'1-2分行业名义+实际增长率'!$R$3</c:f>
              <c:strCache>
                <c:ptCount val="1"/>
                <c:pt idx="0">
                  <c:v>工业:制造业</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cat>
            <c:numRef>
              <c:f>'1-2分行业名义+实际增长率'!$A$101:$A$111</c:f>
              <c:numCache>
                <c:formatCode>yyyy\-mm;@</c:formatCode>
                <c:ptCount val="11"/>
                <c:pt idx="0">
                  <c:v>42460</c:v>
                </c:pt>
                <c:pt idx="1">
                  <c:v>42551</c:v>
                </c:pt>
                <c:pt idx="2">
                  <c:v>42643</c:v>
                </c:pt>
                <c:pt idx="3">
                  <c:v>42735</c:v>
                </c:pt>
                <c:pt idx="4">
                  <c:v>42825</c:v>
                </c:pt>
                <c:pt idx="5">
                  <c:v>42916</c:v>
                </c:pt>
                <c:pt idx="6">
                  <c:v>43008</c:v>
                </c:pt>
                <c:pt idx="7">
                  <c:v>43100</c:v>
                </c:pt>
                <c:pt idx="8">
                  <c:v>43190</c:v>
                </c:pt>
                <c:pt idx="9">
                  <c:v>43281</c:v>
                </c:pt>
                <c:pt idx="10">
                  <c:v>43373</c:v>
                </c:pt>
              </c:numCache>
            </c:numRef>
          </c:cat>
          <c:val>
            <c:numRef>
              <c:f>'1-2分行业名义+实际增长率'!$R$101:$R$111</c:f>
              <c:numCache>
                <c:formatCode>0.0%</c:formatCode>
                <c:ptCount val="11"/>
                <c:pt idx="0">
                  <c:v>2.2485346812152862E-2</c:v>
                </c:pt>
                <c:pt idx="1">
                  <c:v>4.5357071078598654E-2</c:v>
                </c:pt>
                <c:pt idx="2">
                  <c:v>6.1836994612895824E-2</c:v>
                </c:pt>
                <c:pt idx="3">
                  <c:v>9.8230022363943625E-2</c:v>
                </c:pt>
                <c:pt idx="4">
                  <c:v>0.14094044396549865</c:v>
                </c:pt>
                <c:pt idx="5">
                  <c:v>0.12683533245976553</c:v>
                </c:pt>
                <c:pt idx="6">
                  <c:v>0.13324890113983456</c:v>
                </c:pt>
                <c:pt idx="7">
                  <c:v>0.13071886747047934</c:v>
                </c:pt>
                <c:pt idx="8">
                  <c:v>0.10752027225825556</c:v>
                </c:pt>
                <c:pt idx="9">
                  <c:v>0.10951424917672159</c:v>
                </c:pt>
                <c:pt idx="10">
                  <c:v>0.10199453048988927</c:v>
                </c:pt>
              </c:numCache>
            </c:numRef>
          </c:val>
          <c:smooth val="0"/>
          <c:extLst>
            <c:ext xmlns:c16="http://schemas.microsoft.com/office/drawing/2014/chart" uri="{C3380CC4-5D6E-409C-BE32-E72D297353CC}">
              <c16:uniqueId val="{00000001-3005-2448-B359-D34406E6901B}"/>
            </c:ext>
          </c:extLst>
        </c:ser>
        <c:ser>
          <c:idx val="2"/>
          <c:order val="2"/>
          <c:tx>
            <c:strRef>
              <c:f>'1-2分行业名义+实际增长率'!$W$3</c:f>
              <c:strCache>
                <c:ptCount val="1"/>
                <c:pt idx="0">
                  <c:v>金融业</c:v>
                </c:pt>
              </c:strCache>
            </c:strRef>
          </c:tx>
          <c:spPr>
            <a:ln w="28575" cap="rnd">
              <a:solidFill>
                <a:schemeClr val="accent3"/>
              </a:solidFill>
              <a:round/>
            </a:ln>
            <a:effectLst/>
          </c:spPr>
          <c:marker>
            <c:symbol val="x"/>
            <c:size val="5"/>
            <c:spPr>
              <a:noFill/>
              <a:ln w="9525">
                <a:solidFill>
                  <a:schemeClr val="accent3"/>
                </a:solidFill>
              </a:ln>
              <a:effectLst/>
            </c:spPr>
          </c:marker>
          <c:cat>
            <c:numRef>
              <c:f>'1-2分行业名义+实际增长率'!$A$101:$A$111</c:f>
              <c:numCache>
                <c:formatCode>yyyy\-mm;@</c:formatCode>
                <c:ptCount val="11"/>
                <c:pt idx="0">
                  <c:v>42460</c:v>
                </c:pt>
                <c:pt idx="1">
                  <c:v>42551</c:v>
                </c:pt>
                <c:pt idx="2">
                  <c:v>42643</c:v>
                </c:pt>
                <c:pt idx="3">
                  <c:v>42735</c:v>
                </c:pt>
                <c:pt idx="4">
                  <c:v>42825</c:v>
                </c:pt>
                <c:pt idx="5">
                  <c:v>42916</c:v>
                </c:pt>
                <c:pt idx="6">
                  <c:v>43008</c:v>
                </c:pt>
                <c:pt idx="7">
                  <c:v>43100</c:v>
                </c:pt>
                <c:pt idx="8">
                  <c:v>43190</c:v>
                </c:pt>
                <c:pt idx="9">
                  <c:v>43281</c:v>
                </c:pt>
                <c:pt idx="10">
                  <c:v>43373</c:v>
                </c:pt>
              </c:numCache>
            </c:numRef>
          </c:cat>
          <c:val>
            <c:numRef>
              <c:f>'1-2分行业名义+实际增长率'!$W$101:$W$111</c:f>
              <c:numCache>
                <c:formatCode>0.0%</c:formatCode>
                <c:ptCount val="11"/>
                <c:pt idx="0">
                  <c:v>7.4978204010462068E-2</c:v>
                </c:pt>
                <c:pt idx="1">
                  <c:v>4.8501911713590529E-2</c:v>
                </c:pt>
                <c:pt idx="2">
                  <c:v>5.6135869904705205E-2</c:v>
                </c:pt>
                <c:pt idx="3">
                  <c:v>4.5051819847411689E-2</c:v>
                </c:pt>
                <c:pt idx="4">
                  <c:v>8.831215643867707E-2</c:v>
                </c:pt>
                <c:pt idx="5">
                  <c:v>6.1553965801878885E-2</c:v>
                </c:pt>
                <c:pt idx="6">
                  <c:v>8.6168485939789985E-2</c:v>
                </c:pt>
                <c:pt idx="7">
                  <c:v>6.6430730181989528E-2</c:v>
                </c:pt>
                <c:pt idx="8">
                  <c:v>5.4164350181572951E-2</c:v>
                </c:pt>
                <c:pt idx="9">
                  <c:v>6.5260975198456084E-2</c:v>
                </c:pt>
                <c:pt idx="10">
                  <c:v>5.1791213644806655E-2</c:v>
                </c:pt>
              </c:numCache>
            </c:numRef>
          </c:val>
          <c:smooth val="0"/>
          <c:extLst>
            <c:ext xmlns:c16="http://schemas.microsoft.com/office/drawing/2014/chart" uri="{C3380CC4-5D6E-409C-BE32-E72D297353CC}">
              <c16:uniqueId val="{00000002-3005-2448-B359-D34406E6901B}"/>
            </c:ext>
          </c:extLst>
        </c:ser>
        <c:ser>
          <c:idx val="3"/>
          <c:order val="3"/>
          <c:tx>
            <c:strRef>
              <c:f>'1-2分行业名义+实际增长率'!$X$3</c:f>
              <c:strCache>
                <c:ptCount val="1"/>
                <c:pt idx="0">
                  <c:v>房地产业</c:v>
                </c:pt>
              </c:strCache>
            </c:strRef>
          </c:tx>
          <c:spPr>
            <a:ln w="28575" cap="rnd">
              <a:solidFill>
                <a:schemeClr val="accent4"/>
              </a:solidFill>
              <a:round/>
            </a:ln>
            <a:effectLst/>
          </c:spPr>
          <c:marker>
            <c:symbol val="diamond"/>
            <c:size val="5"/>
            <c:spPr>
              <a:solidFill>
                <a:schemeClr val="accent4"/>
              </a:solidFill>
              <a:ln w="9525">
                <a:solidFill>
                  <a:schemeClr val="accent4"/>
                </a:solidFill>
              </a:ln>
              <a:effectLst/>
            </c:spPr>
          </c:marker>
          <c:cat>
            <c:numRef>
              <c:f>'1-2分行业名义+实际增长率'!$A$101:$A$111</c:f>
              <c:numCache>
                <c:formatCode>yyyy\-mm;@</c:formatCode>
                <c:ptCount val="11"/>
                <c:pt idx="0">
                  <c:v>42460</c:v>
                </c:pt>
                <c:pt idx="1">
                  <c:v>42551</c:v>
                </c:pt>
                <c:pt idx="2">
                  <c:v>42643</c:v>
                </c:pt>
                <c:pt idx="3">
                  <c:v>42735</c:v>
                </c:pt>
                <c:pt idx="4">
                  <c:v>42825</c:v>
                </c:pt>
                <c:pt idx="5">
                  <c:v>42916</c:v>
                </c:pt>
                <c:pt idx="6">
                  <c:v>43008</c:v>
                </c:pt>
                <c:pt idx="7">
                  <c:v>43100</c:v>
                </c:pt>
                <c:pt idx="8">
                  <c:v>43190</c:v>
                </c:pt>
                <c:pt idx="9">
                  <c:v>43281</c:v>
                </c:pt>
                <c:pt idx="10">
                  <c:v>43373</c:v>
                </c:pt>
              </c:numCache>
            </c:numRef>
          </c:cat>
          <c:val>
            <c:numRef>
              <c:f>'1-2分行业名义+实际增长率'!$X$101:$X$111</c:f>
              <c:numCache>
                <c:formatCode>0.0%</c:formatCode>
                <c:ptCount val="11"/>
                <c:pt idx="0">
                  <c:v>0.1767740136623448</c:v>
                </c:pt>
                <c:pt idx="1">
                  <c:v>0.15055912489885048</c:v>
                </c:pt>
                <c:pt idx="2">
                  <c:v>0.16414457647047587</c:v>
                </c:pt>
                <c:pt idx="3">
                  <c:v>0.13552808776730352</c:v>
                </c:pt>
                <c:pt idx="4">
                  <c:v>0.13030720020413189</c:v>
                </c:pt>
                <c:pt idx="5">
                  <c:v>0.12555290050333023</c:v>
                </c:pt>
                <c:pt idx="6">
                  <c:v>9.2511085564132012E-2</c:v>
                </c:pt>
                <c:pt idx="7">
                  <c:v>0.12250247391997338</c:v>
                </c:pt>
                <c:pt idx="8">
                  <c:v>0.11622807017543857</c:v>
                </c:pt>
                <c:pt idx="9">
                  <c:v>0.12570107881443326</c:v>
                </c:pt>
                <c:pt idx="10">
                  <c:v>0.10981164409302036</c:v>
                </c:pt>
              </c:numCache>
            </c:numRef>
          </c:val>
          <c:smooth val="0"/>
          <c:extLst>
            <c:ext xmlns:c16="http://schemas.microsoft.com/office/drawing/2014/chart" uri="{C3380CC4-5D6E-409C-BE32-E72D297353CC}">
              <c16:uniqueId val="{00000003-3005-2448-B359-D34406E6901B}"/>
            </c:ext>
          </c:extLst>
        </c:ser>
        <c:ser>
          <c:idx val="4"/>
          <c:order val="4"/>
          <c:tx>
            <c:strRef>
              <c:f>'1-2分行业名义+实际增长率'!$Y$3</c:f>
              <c:strCache>
                <c:ptCount val="1"/>
                <c:pt idx="0">
                  <c:v>信息传输、软件和信息技术服务业</c:v>
                </c:pt>
              </c:strCache>
            </c:strRef>
          </c:tx>
          <c:spPr>
            <a:ln w="28575" cap="rnd">
              <a:solidFill>
                <a:schemeClr val="accent5"/>
              </a:solidFill>
              <a:round/>
            </a:ln>
            <a:effectLst/>
          </c:spPr>
          <c:marker>
            <c:symbol val="none"/>
          </c:marker>
          <c:cat>
            <c:numRef>
              <c:f>'1-2分行业名义+实际增长率'!$A$101:$A$111</c:f>
              <c:numCache>
                <c:formatCode>yyyy\-mm;@</c:formatCode>
                <c:ptCount val="11"/>
                <c:pt idx="0">
                  <c:v>42460</c:v>
                </c:pt>
                <c:pt idx="1">
                  <c:v>42551</c:v>
                </c:pt>
                <c:pt idx="2">
                  <c:v>42643</c:v>
                </c:pt>
                <c:pt idx="3">
                  <c:v>42735</c:v>
                </c:pt>
                <c:pt idx="4">
                  <c:v>42825</c:v>
                </c:pt>
                <c:pt idx="5">
                  <c:v>42916</c:v>
                </c:pt>
                <c:pt idx="6">
                  <c:v>43008</c:v>
                </c:pt>
                <c:pt idx="7">
                  <c:v>43100</c:v>
                </c:pt>
                <c:pt idx="8">
                  <c:v>43190</c:v>
                </c:pt>
                <c:pt idx="9">
                  <c:v>43281</c:v>
                </c:pt>
                <c:pt idx="10">
                  <c:v>43373</c:v>
                </c:pt>
              </c:numCache>
            </c:numRef>
          </c:cat>
          <c:val>
            <c:numRef>
              <c:f>'1-2分行业名义+实际增长率'!$Y$101:$Y$111</c:f>
              <c:numCache>
                <c:formatCode>0.0%</c:formatCode>
                <c:ptCount val="11"/>
                <c:pt idx="0">
                  <c:v>0.17070230718802204</c:v>
                </c:pt>
                <c:pt idx="1">
                  <c:v>0.16438957132113297</c:v>
                </c:pt>
                <c:pt idx="2">
                  <c:v>0.18752756051709341</c:v>
                </c:pt>
                <c:pt idx="3">
                  <c:v>0.20140197801732351</c:v>
                </c:pt>
                <c:pt idx="4">
                  <c:v>0.19165808630936243</c:v>
                </c:pt>
                <c:pt idx="5">
                  <c:v>0.22371135870247771</c:v>
                </c:pt>
                <c:pt idx="6">
                  <c:v>0.27859753356655648</c:v>
                </c:pt>
                <c:pt idx="7">
                  <c:v>0.32070017098838344</c:v>
                </c:pt>
                <c:pt idx="8">
                  <c:v>0.23418575391471763</c:v>
                </c:pt>
                <c:pt idx="9">
                  <c:v>0.2434829780371226</c:v>
                </c:pt>
                <c:pt idx="10">
                  <c:v>0.23594509492219751</c:v>
                </c:pt>
              </c:numCache>
            </c:numRef>
          </c:val>
          <c:smooth val="0"/>
          <c:extLst>
            <c:ext xmlns:c16="http://schemas.microsoft.com/office/drawing/2014/chart" uri="{C3380CC4-5D6E-409C-BE32-E72D297353CC}">
              <c16:uniqueId val="{00000004-3005-2448-B359-D34406E6901B}"/>
            </c:ext>
          </c:extLst>
        </c:ser>
        <c:dLbls>
          <c:showLegendKey val="0"/>
          <c:showVal val="0"/>
          <c:showCatName val="0"/>
          <c:showSerName val="0"/>
          <c:showPercent val="0"/>
          <c:showBubbleSize val="0"/>
        </c:dLbls>
        <c:marker val="1"/>
        <c:smooth val="0"/>
        <c:axId val="193268224"/>
        <c:axId val="252196480"/>
      </c:lineChart>
      <c:dateAx>
        <c:axId val="193268224"/>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52196480"/>
        <c:crosses val="autoZero"/>
        <c:auto val="1"/>
        <c:lblOffset val="100"/>
        <c:baseTimeUnit val="months"/>
      </c:dateAx>
      <c:valAx>
        <c:axId val="25219648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3268224"/>
        <c:crosses val="autoZero"/>
        <c:crossBetween val="between"/>
      </c:valAx>
      <c:spPr>
        <a:noFill/>
        <a:ln>
          <a:noFill/>
        </a:ln>
        <a:effectLst/>
      </c:spPr>
    </c:plotArea>
    <c:legend>
      <c:legendPos val="b"/>
      <c:layout>
        <c:manualLayout>
          <c:xMode val="edge"/>
          <c:yMode val="edge"/>
          <c:x val="1.6097112860892389E-2"/>
          <c:y val="0.81076115485564304"/>
          <c:w val="0.9555555555555556"/>
          <c:h val="0.189238845144356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PPI</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环比——CPI!$A$282:$A$292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环比——CPI!$B$282:$B$292</c:f>
              <c:numCache>
                <c:formatCode>#,##0.0_ </c:formatCode>
                <c:ptCount val="11"/>
                <c:pt idx="0">
                  <c:v>0.3</c:v>
                </c:pt>
                <c:pt idx="1">
                  <c:v>-0.1</c:v>
                </c:pt>
                <c:pt idx="2">
                  <c:v>-0.2</c:v>
                </c:pt>
                <c:pt idx="3">
                  <c:v>-0.2</c:v>
                </c:pt>
                <c:pt idx="4">
                  <c:v>0.4</c:v>
                </c:pt>
                <c:pt idx="5">
                  <c:v>0.3</c:v>
                </c:pt>
                <c:pt idx="6">
                  <c:v>0.1</c:v>
                </c:pt>
                <c:pt idx="7">
                  <c:v>0.4</c:v>
                </c:pt>
                <c:pt idx="8">
                  <c:v>0.6</c:v>
                </c:pt>
                <c:pt idx="9">
                  <c:v>0.4</c:v>
                </c:pt>
                <c:pt idx="10">
                  <c:v>-0.2</c:v>
                </c:pt>
              </c:numCache>
            </c:numRef>
          </c:val>
          <c:smooth val="0"/>
          <c:extLst>
            <c:ext xmlns:c16="http://schemas.microsoft.com/office/drawing/2014/chart" uri="{C3380CC4-5D6E-409C-BE32-E72D297353CC}">
              <c16:uniqueId val="{00000000-6A67-644B-BA3F-CD147DB1A234}"/>
            </c:ext>
          </c:extLst>
        </c:ser>
        <c:ser>
          <c:idx val="1"/>
          <c:order val="1"/>
          <c:tx>
            <c:v>生产资料</c:v>
          </c:tx>
          <c:spPr>
            <a:ln w="28575" cap="rnd">
              <a:solidFill>
                <a:schemeClr val="accent1"/>
              </a:solidFill>
              <a:round/>
            </a:ln>
            <a:effectLst/>
          </c:spPr>
          <c:marker>
            <c:symbol val="circle"/>
            <c:size val="5"/>
            <c:spPr>
              <a:solidFill>
                <a:schemeClr val="accent2"/>
              </a:solidFill>
              <a:ln w="9525">
                <a:solidFill>
                  <a:schemeClr val="accent2"/>
                </a:solidFill>
              </a:ln>
              <a:effectLst/>
            </c:spPr>
          </c:marker>
          <c:cat>
            <c:numRef>
              <c:f>环比——CPI!$A$282:$A$292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环比——CPI!$C$282:$C$292</c:f>
              <c:numCache>
                <c:formatCode>#,##0.0_ </c:formatCode>
                <c:ptCount val="11"/>
                <c:pt idx="0">
                  <c:v>0.3</c:v>
                </c:pt>
                <c:pt idx="1">
                  <c:v>-0.1</c:v>
                </c:pt>
                <c:pt idx="2">
                  <c:v>-0.2</c:v>
                </c:pt>
                <c:pt idx="3">
                  <c:v>-0.2</c:v>
                </c:pt>
                <c:pt idx="4">
                  <c:v>0.5</c:v>
                </c:pt>
                <c:pt idx="5">
                  <c:v>0.4</c:v>
                </c:pt>
                <c:pt idx="6">
                  <c:v>0.1</c:v>
                </c:pt>
                <c:pt idx="7">
                  <c:v>0.5</c:v>
                </c:pt>
                <c:pt idx="8">
                  <c:v>0.7</c:v>
                </c:pt>
                <c:pt idx="9">
                  <c:v>0.6</c:v>
                </c:pt>
                <c:pt idx="10">
                  <c:v>-0.3</c:v>
                </c:pt>
              </c:numCache>
            </c:numRef>
          </c:val>
          <c:smooth val="0"/>
          <c:extLst>
            <c:ext xmlns:c16="http://schemas.microsoft.com/office/drawing/2014/chart" uri="{C3380CC4-5D6E-409C-BE32-E72D297353CC}">
              <c16:uniqueId val="{00000001-6A67-644B-BA3F-CD147DB1A234}"/>
            </c:ext>
          </c:extLst>
        </c:ser>
        <c:ser>
          <c:idx val="2"/>
          <c:order val="2"/>
          <c:tx>
            <c:v>生活资料</c:v>
          </c:tx>
          <c:spPr>
            <a:ln w="28575" cap="rnd">
              <a:solidFill>
                <a:schemeClr val="accent3"/>
              </a:solidFill>
              <a:round/>
            </a:ln>
            <a:effectLst/>
          </c:spPr>
          <c:marker>
            <c:symbol val="diamond"/>
            <c:size val="5"/>
            <c:spPr>
              <a:solidFill>
                <a:schemeClr val="accent3"/>
              </a:solidFill>
              <a:ln w="9525">
                <a:solidFill>
                  <a:schemeClr val="accent3"/>
                </a:solidFill>
              </a:ln>
              <a:effectLst/>
            </c:spPr>
          </c:marker>
          <c:cat>
            <c:numRef>
              <c:f>环比——CPI!$A$282:$A$292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环比——CPI!$D$282:$D$292</c:f>
              <c:numCache>
                <c:formatCode>#,##0.0_ </c:formatCode>
                <c:ptCount val="11"/>
                <c:pt idx="0">
                  <c:v>0.1</c:v>
                </c:pt>
                <c:pt idx="1">
                  <c:v>0</c:v>
                </c:pt>
                <c:pt idx="2">
                  <c:v>-0.2</c:v>
                </c:pt>
                <c:pt idx="3">
                  <c:v>-0.1</c:v>
                </c:pt>
                <c:pt idx="4">
                  <c:v>0</c:v>
                </c:pt>
                <c:pt idx="5">
                  <c:v>0</c:v>
                </c:pt>
                <c:pt idx="6">
                  <c:v>0.2</c:v>
                </c:pt>
                <c:pt idx="7">
                  <c:v>0.3</c:v>
                </c:pt>
                <c:pt idx="8">
                  <c:v>0.1</c:v>
                </c:pt>
                <c:pt idx="9">
                  <c:v>0</c:v>
                </c:pt>
                <c:pt idx="10">
                  <c:v>0.2</c:v>
                </c:pt>
              </c:numCache>
            </c:numRef>
          </c:val>
          <c:smooth val="0"/>
          <c:extLst>
            <c:ext xmlns:c16="http://schemas.microsoft.com/office/drawing/2014/chart" uri="{C3380CC4-5D6E-409C-BE32-E72D297353CC}">
              <c16:uniqueId val="{00000002-6A67-644B-BA3F-CD147DB1A234}"/>
            </c:ext>
          </c:extLst>
        </c:ser>
        <c:ser>
          <c:idx val="3"/>
          <c:order val="3"/>
          <c:tx>
            <c:v>CPI</c:v>
          </c:tx>
          <c:spPr>
            <a:ln w="28575" cap="rnd">
              <a:solidFill>
                <a:schemeClr val="accent4"/>
              </a:solidFill>
              <a:round/>
            </a:ln>
            <a:effectLst/>
          </c:spPr>
          <c:marker>
            <c:symbol val="x"/>
            <c:size val="5"/>
            <c:spPr>
              <a:noFill/>
              <a:ln w="9525">
                <a:solidFill>
                  <a:schemeClr val="accent4"/>
                </a:solidFill>
              </a:ln>
              <a:effectLst/>
            </c:spPr>
          </c:marker>
          <c:cat>
            <c:numRef>
              <c:f>环比——CPI!$A$282:$A$292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环比——CPI!$E$282:$E$292</c:f>
              <c:numCache>
                <c:formatCode>#,##0.0_ </c:formatCode>
                <c:ptCount val="11"/>
                <c:pt idx="0">
                  <c:v>0.6</c:v>
                </c:pt>
                <c:pt idx="1">
                  <c:v>1.2</c:v>
                </c:pt>
                <c:pt idx="2">
                  <c:v>-1.1000000000000001</c:v>
                </c:pt>
                <c:pt idx="3">
                  <c:v>-0.2</c:v>
                </c:pt>
                <c:pt idx="4">
                  <c:v>-0.2</c:v>
                </c:pt>
                <c:pt idx="5">
                  <c:v>-0.1</c:v>
                </c:pt>
                <c:pt idx="6">
                  <c:v>0.3</c:v>
                </c:pt>
                <c:pt idx="7">
                  <c:v>0.7</c:v>
                </c:pt>
                <c:pt idx="8">
                  <c:v>0.7</c:v>
                </c:pt>
                <c:pt idx="9">
                  <c:v>0.2</c:v>
                </c:pt>
                <c:pt idx="10">
                  <c:v>-0.3</c:v>
                </c:pt>
              </c:numCache>
            </c:numRef>
          </c:val>
          <c:smooth val="0"/>
          <c:extLst>
            <c:ext xmlns:c16="http://schemas.microsoft.com/office/drawing/2014/chart" uri="{C3380CC4-5D6E-409C-BE32-E72D297353CC}">
              <c16:uniqueId val="{00000003-6A67-644B-BA3F-CD147DB1A234}"/>
            </c:ext>
          </c:extLst>
        </c:ser>
        <c:ser>
          <c:idx val="4"/>
          <c:order val="4"/>
          <c:tx>
            <c:v>消费品</c:v>
          </c:tx>
          <c:spPr>
            <a:ln w="28575" cap="rnd">
              <a:solidFill>
                <a:schemeClr val="accent5"/>
              </a:solidFill>
              <a:round/>
            </a:ln>
            <a:effectLst/>
          </c:spPr>
          <c:marker>
            <c:symbol val="square"/>
            <c:size val="5"/>
            <c:spPr>
              <a:solidFill>
                <a:schemeClr val="accent5"/>
              </a:solidFill>
              <a:ln w="9525">
                <a:solidFill>
                  <a:schemeClr val="accent5"/>
                </a:solidFill>
              </a:ln>
              <a:effectLst/>
            </c:spPr>
          </c:marker>
          <c:cat>
            <c:numRef>
              <c:f>环比——CPI!$A$282:$A$292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环比——CPI!$J$282:$J$292</c:f>
              <c:numCache>
                <c:formatCode>#,##0.0_ </c:formatCode>
                <c:ptCount val="11"/>
                <c:pt idx="0">
                  <c:v>0.8</c:v>
                </c:pt>
                <c:pt idx="1">
                  <c:v>1.4</c:v>
                </c:pt>
                <c:pt idx="2">
                  <c:v>-1.4</c:v>
                </c:pt>
                <c:pt idx="3">
                  <c:v>-0.5</c:v>
                </c:pt>
                <c:pt idx="4">
                  <c:v>-0.2</c:v>
                </c:pt>
                <c:pt idx="5">
                  <c:v>-0.2</c:v>
                </c:pt>
                <c:pt idx="6">
                  <c:v>0.1</c:v>
                </c:pt>
                <c:pt idx="7">
                  <c:v>0.8</c:v>
                </c:pt>
                <c:pt idx="8">
                  <c:v>1</c:v>
                </c:pt>
                <c:pt idx="9">
                  <c:v>0.3</c:v>
                </c:pt>
                <c:pt idx="10">
                  <c:v>-0.5</c:v>
                </c:pt>
              </c:numCache>
            </c:numRef>
          </c:val>
          <c:smooth val="0"/>
          <c:extLst>
            <c:ext xmlns:c16="http://schemas.microsoft.com/office/drawing/2014/chart" uri="{C3380CC4-5D6E-409C-BE32-E72D297353CC}">
              <c16:uniqueId val="{00000004-6A67-644B-BA3F-CD147DB1A234}"/>
            </c:ext>
          </c:extLst>
        </c:ser>
        <c:ser>
          <c:idx val="5"/>
          <c:order val="5"/>
          <c:tx>
            <c:v>服务</c:v>
          </c:tx>
          <c:spPr>
            <a:ln w="28575" cap="rnd">
              <a:solidFill>
                <a:schemeClr val="accent6"/>
              </a:solidFill>
              <a:round/>
            </a:ln>
            <a:effectLst/>
          </c:spPr>
          <c:marker>
            <c:symbol val="plus"/>
            <c:size val="5"/>
            <c:spPr>
              <a:noFill/>
              <a:ln w="9525">
                <a:solidFill>
                  <a:schemeClr val="accent6"/>
                </a:solidFill>
              </a:ln>
              <a:effectLst/>
            </c:spPr>
          </c:marker>
          <c:cat>
            <c:numRef>
              <c:f>环比——CPI!$A$282:$A$292</c:f>
              <c:numCache>
                <c:formatCode>yyyy\-mm;@</c:formatCode>
                <c:ptCount val="11"/>
                <c:pt idx="0">
                  <c:v>43131</c:v>
                </c:pt>
                <c:pt idx="1">
                  <c:v>43159</c:v>
                </c:pt>
                <c:pt idx="2">
                  <c:v>43190</c:v>
                </c:pt>
                <c:pt idx="3">
                  <c:v>43220</c:v>
                </c:pt>
                <c:pt idx="4">
                  <c:v>43251</c:v>
                </c:pt>
                <c:pt idx="5">
                  <c:v>43281</c:v>
                </c:pt>
                <c:pt idx="6">
                  <c:v>43312</c:v>
                </c:pt>
                <c:pt idx="7">
                  <c:v>43343</c:v>
                </c:pt>
                <c:pt idx="8">
                  <c:v>43373</c:v>
                </c:pt>
                <c:pt idx="9">
                  <c:v>43404</c:v>
                </c:pt>
                <c:pt idx="10">
                  <c:v>43434</c:v>
                </c:pt>
              </c:numCache>
            </c:numRef>
          </c:cat>
          <c:val>
            <c:numRef>
              <c:f>环比——CPI!$K$282:$K$292</c:f>
              <c:numCache>
                <c:formatCode>#,##0.0_ </c:formatCode>
                <c:ptCount val="11"/>
                <c:pt idx="0">
                  <c:v>0.3</c:v>
                </c:pt>
                <c:pt idx="1">
                  <c:v>1</c:v>
                </c:pt>
                <c:pt idx="2">
                  <c:v>-0.7</c:v>
                </c:pt>
                <c:pt idx="3">
                  <c:v>0.3</c:v>
                </c:pt>
                <c:pt idx="4">
                  <c:v>-0.1</c:v>
                </c:pt>
                <c:pt idx="5">
                  <c:v>0.2</c:v>
                </c:pt>
                <c:pt idx="6">
                  <c:v>0.7</c:v>
                </c:pt>
                <c:pt idx="7">
                  <c:v>0.3</c:v>
                </c:pt>
                <c:pt idx="8">
                  <c:v>0.2</c:v>
                </c:pt>
                <c:pt idx="9">
                  <c:v>0</c:v>
                </c:pt>
                <c:pt idx="10">
                  <c:v>-0.2</c:v>
                </c:pt>
              </c:numCache>
            </c:numRef>
          </c:val>
          <c:smooth val="0"/>
          <c:extLst>
            <c:ext xmlns:c16="http://schemas.microsoft.com/office/drawing/2014/chart" uri="{C3380CC4-5D6E-409C-BE32-E72D297353CC}">
              <c16:uniqueId val="{00000005-6A67-644B-BA3F-CD147DB1A234}"/>
            </c:ext>
          </c:extLst>
        </c:ser>
        <c:dLbls>
          <c:showLegendKey val="0"/>
          <c:showVal val="0"/>
          <c:showCatName val="0"/>
          <c:showSerName val="0"/>
          <c:showPercent val="0"/>
          <c:showBubbleSize val="0"/>
        </c:dLbls>
        <c:marker val="1"/>
        <c:smooth val="0"/>
        <c:axId val="196198400"/>
        <c:axId val="252198208"/>
      </c:lineChart>
      <c:dateAx>
        <c:axId val="196198400"/>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52198208"/>
        <c:crosses val="autoZero"/>
        <c:auto val="1"/>
        <c:lblOffset val="100"/>
        <c:baseTimeUnit val="months"/>
      </c:dateAx>
      <c:valAx>
        <c:axId val="252198208"/>
        <c:scaling>
          <c:orientation val="minMax"/>
        </c:scaling>
        <c:delete val="0"/>
        <c:axPos val="l"/>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619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PMI:生产经营活动预期</c:v>
                </c:pt>
              </c:strCache>
            </c:strRef>
          </c:tx>
          <c:spPr>
            <a:ln w="28575" cap="rnd">
              <a:solidFill>
                <a:schemeClr val="accent1"/>
              </a:solidFill>
              <a:round/>
            </a:ln>
            <a:effectLst/>
          </c:spPr>
          <c:marker>
            <c:symbol val="none"/>
          </c:marker>
          <c:cat>
            <c:numRef>
              <c:f>Sheet1!$A$40:$A$74</c:f>
              <c:numCache>
                <c:formatCode>yyyy\-mm;@</c:formatCode>
                <c:ptCount val="35"/>
                <c:pt idx="0">
                  <c:v>42400</c:v>
                </c:pt>
                <c:pt idx="1">
                  <c:v>42429</c:v>
                </c:pt>
                <c:pt idx="2">
                  <c:v>42460</c:v>
                </c:pt>
                <c:pt idx="3">
                  <c:v>42490</c:v>
                </c:pt>
                <c:pt idx="4">
                  <c:v>42521</c:v>
                </c:pt>
                <c:pt idx="5">
                  <c:v>42551</c:v>
                </c:pt>
                <c:pt idx="6">
                  <c:v>42582</c:v>
                </c:pt>
                <c:pt idx="7">
                  <c:v>42613</c:v>
                </c:pt>
                <c:pt idx="8">
                  <c:v>42643</c:v>
                </c:pt>
                <c:pt idx="9">
                  <c:v>42674</c:v>
                </c:pt>
                <c:pt idx="10">
                  <c:v>42704</c:v>
                </c:pt>
                <c:pt idx="11">
                  <c:v>42735</c:v>
                </c:pt>
                <c:pt idx="12">
                  <c:v>42766</c:v>
                </c:pt>
                <c:pt idx="13">
                  <c:v>42794</c:v>
                </c:pt>
                <c:pt idx="14">
                  <c:v>42825</c:v>
                </c:pt>
                <c:pt idx="15">
                  <c:v>42855</c:v>
                </c:pt>
                <c:pt idx="16">
                  <c:v>42886</c:v>
                </c:pt>
                <c:pt idx="17">
                  <c:v>42916</c:v>
                </c:pt>
                <c:pt idx="18">
                  <c:v>42947</c:v>
                </c:pt>
                <c:pt idx="19">
                  <c:v>42978</c:v>
                </c:pt>
                <c:pt idx="20">
                  <c:v>43008</c:v>
                </c:pt>
                <c:pt idx="21">
                  <c:v>43039</c:v>
                </c:pt>
                <c:pt idx="22">
                  <c:v>43069</c:v>
                </c:pt>
                <c:pt idx="23">
                  <c:v>43100</c:v>
                </c:pt>
                <c:pt idx="24">
                  <c:v>43131</c:v>
                </c:pt>
                <c:pt idx="25">
                  <c:v>43159</c:v>
                </c:pt>
                <c:pt idx="26">
                  <c:v>43190</c:v>
                </c:pt>
                <c:pt idx="27">
                  <c:v>43220</c:v>
                </c:pt>
                <c:pt idx="28">
                  <c:v>43251</c:v>
                </c:pt>
                <c:pt idx="29">
                  <c:v>43281</c:v>
                </c:pt>
                <c:pt idx="30">
                  <c:v>43312</c:v>
                </c:pt>
                <c:pt idx="31">
                  <c:v>43343</c:v>
                </c:pt>
                <c:pt idx="32">
                  <c:v>43373</c:v>
                </c:pt>
                <c:pt idx="33">
                  <c:v>43404</c:v>
                </c:pt>
                <c:pt idx="34">
                  <c:v>43434</c:v>
                </c:pt>
              </c:numCache>
            </c:numRef>
          </c:cat>
          <c:val>
            <c:numRef>
              <c:f>Sheet1!$B$40:$B$74</c:f>
              <c:numCache>
                <c:formatCode>#,##0.0_ </c:formatCode>
                <c:ptCount val="35"/>
                <c:pt idx="0">
                  <c:v>51.3</c:v>
                </c:pt>
                <c:pt idx="1">
                  <c:v>53.3</c:v>
                </c:pt>
                <c:pt idx="2">
                  <c:v>54.8</c:v>
                </c:pt>
                <c:pt idx="3">
                  <c:v>55</c:v>
                </c:pt>
                <c:pt idx="4">
                  <c:v>55.1</c:v>
                </c:pt>
                <c:pt idx="5">
                  <c:v>55.2</c:v>
                </c:pt>
                <c:pt idx="6">
                  <c:v>55.8</c:v>
                </c:pt>
                <c:pt idx="7">
                  <c:v>56.4</c:v>
                </c:pt>
                <c:pt idx="8">
                  <c:v>57.3</c:v>
                </c:pt>
                <c:pt idx="9">
                  <c:v>58.2</c:v>
                </c:pt>
                <c:pt idx="10">
                  <c:v>59</c:v>
                </c:pt>
                <c:pt idx="11">
                  <c:v>58.2</c:v>
                </c:pt>
                <c:pt idx="12">
                  <c:v>58.5</c:v>
                </c:pt>
                <c:pt idx="13">
                  <c:v>60</c:v>
                </c:pt>
                <c:pt idx="14">
                  <c:v>58.3</c:v>
                </c:pt>
                <c:pt idx="15">
                  <c:v>56.6</c:v>
                </c:pt>
                <c:pt idx="16">
                  <c:v>56.8</c:v>
                </c:pt>
                <c:pt idx="17">
                  <c:v>58.7</c:v>
                </c:pt>
                <c:pt idx="18">
                  <c:v>59.1</c:v>
                </c:pt>
                <c:pt idx="19">
                  <c:v>59.5</c:v>
                </c:pt>
                <c:pt idx="20">
                  <c:v>59.4</c:v>
                </c:pt>
                <c:pt idx="21">
                  <c:v>57</c:v>
                </c:pt>
                <c:pt idx="22">
                  <c:v>57.9</c:v>
                </c:pt>
                <c:pt idx="23">
                  <c:v>58.7</c:v>
                </c:pt>
                <c:pt idx="24">
                  <c:v>56.8</c:v>
                </c:pt>
                <c:pt idx="25">
                  <c:v>58.2</c:v>
                </c:pt>
                <c:pt idx="26">
                  <c:v>58.7</c:v>
                </c:pt>
                <c:pt idx="27">
                  <c:v>58.4</c:v>
                </c:pt>
                <c:pt idx="28">
                  <c:v>58.7</c:v>
                </c:pt>
                <c:pt idx="29">
                  <c:v>57.9</c:v>
                </c:pt>
                <c:pt idx="30">
                  <c:v>56.6</c:v>
                </c:pt>
                <c:pt idx="31">
                  <c:v>57</c:v>
                </c:pt>
                <c:pt idx="32">
                  <c:v>56.4</c:v>
                </c:pt>
                <c:pt idx="33">
                  <c:v>56.4</c:v>
                </c:pt>
                <c:pt idx="34">
                  <c:v>54.2</c:v>
                </c:pt>
              </c:numCache>
            </c:numRef>
          </c:val>
          <c:smooth val="0"/>
          <c:extLst>
            <c:ext xmlns:c16="http://schemas.microsoft.com/office/drawing/2014/chart" uri="{C3380CC4-5D6E-409C-BE32-E72D297353CC}">
              <c16:uniqueId val="{00000000-BE31-3D48-A4E0-6B5FD5E8BE9B}"/>
            </c:ext>
          </c:extLst>
        </c:ser>
        <c:ser>
          <c:idx val="1"/>
          <c:order val="1"/>
          <c:tx>
            <c:strRef>
              <c:f>Sheet1!$C$1</c:f>
              <c:strCache>
                <c:ptCount val="1"/>
                <c:pt idx="0">
                  <c:v>PMI:生产经营活动预期:大型企业</c:v>
                </c:pt>
              </c:strCache>
            </c:strRef>
          </c:tx>
          <c:spPr>
            <a:ln w="28575" cap="rnd">
              <a:solidFill>
                <a:schemeClr val="accent2"/>
              </a:solidFill>
              <a:round/>
            </a:ln>
            <a:effectLst/>
          </c:spPr>
          <c:marker>
            <c:symbol val="square"/>
            <c:size val="5"/>
          </c:marker>
          <c:cat>
            <c:numRef>
              <c:f>Sheet1!$A$40:$A$74</c:f>
              <c:numCache>
                <c:formatCode>yyyy\-mm;@</c:formatCode>
                <c:ptCount val="35"/>
                <c:pt idx="0">
                  <c:v>42400</c:v>
                </c:pt>
                <c:pt idx="1">
                  <c:v>42429</c:v>
                </c:pt>
                <c:pt idx="2">
                  <c:v>42460</c:v>
                </c:pt>
                <c:pt idx="3">
                  <c:v>42490</c:v>
                </c:pt>
                <c:pt idx="4">
                  <c:v>42521</c:v>
                </c:pt>
                <c:pt idx="5">
                  <c:v>42551</c:v>
                </c:pt>
                <c:pt idx="6">
                  <c:v>42582</c:v>
                </c:pt>
                <c:pt idx="7">
                  <c:v>42613</c:v>
                </c:pt>
                <c:pt idx="8">
                  <c:v>42643</c:v>
                </c:pt>
                <c:pt idx="9">
                  <c:v>42674</c:v>
                </c:pt>
                <c:pt idx="10">
                  <c:v>42704</c:v>
                </c:pt>
                <c:pt idx="11">
                  <c:v>42735</c:v>
                </c:pt>
                <c:pt idx="12">
                  <c:v>42766</c:v>
                </c:pt>
                <c:pt idx="13">
                  <c:v>42794</c:v>
                </c:pt>
                <c:pt idx="14">
                  <c:v>42825</c:v>
                </c:pt>
                <c:pt idx="15">
                  <c:v>42855</c:v>
                </c:pt>
                <c:pt idx="16">
                  <c:v>42886</c:v>
                </c:pt>
                <c:pt idx="17">
                  <c:v>42916</c:v>
                </c:pt>
                <c:pt idx="18">
                  <c:v>42947</c:v>
                </c:pt>
                <c:pt idx="19">
                  <c:v>42978</c:v>
                </c:pt>
                <c:pt idx="20">
                  <c:v>43008</c:v>
                </c:pt>
                <c:pt idx="21">
                  <c:v>43039</c:v>
                </c:pt>
                <c:pt idx="22">
                  <c:v>43069</c:v>
                </c:pt>
                <c:pt idx="23">
                  <c:v>43100</c:v>
                </c:pt>
                <c:pt idx="24">
                  <c:v>43131</c:v>
                </c:pt>
                <c:pt idx="25">
                  <c:v>43159</c:v>
                </c:pt>
                <c:pt idx="26">
                  <c:v>43190</c:v>
                </c:pt>
                <c:pt idx="27">
                  <c:v>43220</c:v>
                </c:pt>
                <c:pt idx="28">
                  <c:v>43251</c:v>
                </c:pt>
                <c:pt idx="29">
                  <c:v>43281</c:v>
                </c:pt>
                <c:pt idx="30">
                  <c:v>43312</c:v>
                </c:pt>
                <c:pt idx="31">
                  <c:v>43343</c:v>
                </c:pt>
                <c:pt idx="32">
                  <c:v>43373</c:v>
                </c:pt>
                <c:pt idx="33">
                  <c:v>43404</c:v>
                </c:pt>
                <c:pt idx="34">
                  <c:v>43434</c:v>
                </c:pt>
              </c:numCache>
            </c:numRef>
          </c:cat>
          <c:val>
            <c:numRef>
              <c:f>Sheet1!$C$40:$C$74</c:f>
              <c:numCache>
                <c:formatCode>#,##0.0_ </c:formatCode>
                <c:ptCount val="35"/>
                <c:pt idx="0">
                  <c:v>45.6</c:v>
                </c:pt>
                <c:pt idx="1">
                  <c:v>59.1</c:v>
                </c:pt>
                <c:pt idx="2">
                  <c:v>64.2</c:v>
                </c:pt>
                <c:pt idx="3">
                  <c:v>62.6</c:v>
                </c:pt>
                <c:pt idx="4">
                  <c:v>57.2</c:v>
                </c:pt>
                <c:pt idx="5">
                  <c:v>54</c:v>
                </c:pt>
                <c:pt idx="6">
                  <c:v>56.4</c:v>
                </c:pt>
                <c:pt idx="7">
                  <c:v>60.2</c:v>
                </c:pt>
                <c:pt idx="8">
                  <c:v>60.6</c:v>
                </c:pt>
                <c:pt idx="9">
                  <c:v>57.2</c:v>
                </c:pt>
                <c:pt idx="10">
                  <c:v>58</c:v>
                </c:pt>
                <c:pt idx="11">
                  <c:v>51.3</c:v>
                </c:pt>
                <c:pt idx="12">
                  <c:v>60.5</c:v>
                </c:pt>
                <c:pt idx="13">
                  <c:v>61.7</c:v>
                </c:pt>
                <c:pt idx="14">
                  <c:v>58.9</c:v>
                </c:pt>
                <c:pt idx="15">
                  <c:v>57.2</c:v>
                </c:pt>
                <c:pt idx="16">
                  <c:v>57.4</c:v>
                </c:pt>
                <c:pt idx="17">
                  <c:v>60.4</c:v>
                </c:pt>
                <c:pt idx="18">
                  <c:v>61.2</c:v>
                </c:pt>
                <c:pt idx="19">
                  <c:v>61.8</c:v>
                </c:pt>
                <c:pt idx="20">
                  <c:v>61.9</c:v>
                </c:pt>
                <c:pt idx="21">
                  <c:v>59</c:v>
                </c:pt>
                <c:pt idx="22">
                  <c:v>59.6</c:v>
                </c:pt>
                <c:pt idx="23">
                  <c:v>60.7</c:v>
                </c:pt>
                <c:pt idx="24">
                  <c:v>58.4</c:v>
                </c:pt>
                <c:pt idx="25">
                  <c:v>59.4</c:v>
                </c:pt>
                <c:pt idx="26">
                  <c:v>59</c:v>
                </c:pt>
                <c:pt idx="27">
                  <c:v>58.8</c:v>
                </c:pt>
                <c:pt idx="28">
                  <c:v>59.8</c:v>
                </c:pt>
                <c:pt idx="29">
                  <c:v>59.5</c:v>
                </c:pt>
                <c:pt idx="30">
                  <c:v>57.6</c:v>
                </c:pt>
                <c:pt idx="31">
                  <c:v>58.9</c:v>
                </c:pt>
                <c:pt idx="32">
                  <c:v>58.5</c:v>
                </c:pt>
                <c:pt idx="33">
                  <c:v>57.9</c:v>
                </c:pt>
                <c:pt idx="34">
                  <c:v>55.4</c:v>
                </c:pt>
              </c:numCache>
            </c:numRef>
          </c:val>
          <c:smooth val="0"/>
          <c:extLst>
            <c:ext xmlns:c16="http://schemas.microsoft.com/office/drawing/2014/chart" uri="{C3380CC4-5D6E-409C-BE32-E72D297353CC}">
              <c16:uniqueId val="{00000001-BE31-3D48-A4E0-6B5FD5E8BE9B}"/>
            </c:ext>
          </c:extLst>
        </c:ser>
        <c:ser>
          <c:idx val="2"/>
          <c:order val="2"/>
          <c:tx>
            <c:strRef>
              <c:f>Sheet1!$D$1</c:f>
              <c:strCache>
                <c:ptCount val="1"/>
                <c:pt idx="0">
                  <c:v>PMI:生产经营活动预期:中型企业</c:v>
                </c:pt>
              </c:strCache>
            </c:strRef>
          </c:tx>
          <c:spPr>
            <a:ln w="28575" cap="rnd">
              <a:solidFill>
                <a:schemeClr val="accent3"/>
              </a:solidFill>
              <a:round/>
            </a:ln>
            <a:effectLst/>
          </c:spPr>
          <c:marker>
            <c:symbol val="triangle"/>
            <c:size val="5"/>
          </c:marker>
          <c:cat>
            <c:numRef>
              <c:f>Sheet1!$A$40:$A$74</c:f>
              <c:numCache>
                <c:formatCode>yyyy\-mm;@</c:formatCode>
                <c:ptCount val="35"/>
                <c:pt idx="0">
                  <c:v>42400</c:v>
                </c:pt>
                <c:pt idx="1">
                  <c:v>42429</c:v>
                </c:pt>
                <c:pt idx="2">
                  <c:v>42460</c:v>
                </c:pt>
                <c:pt idx="3">
                  <c:v>42490</c:v>
                </c:pt>
                <c:pt idx="4">
                  <c:v>42521</c:v>
                </c:pt>
                <c:pt idx="5">
                  <c:v>42551</c:v>
                </c:pt>
                <c:pt idx="6">
                  <c:v>42582</c:v>
                </c:pt>
                <c:pt idx="7">
                  <c:v>42613</c:v>
                </c:pt>
                <c:pt idx="8">
                  <c:v>42643</c:v>
                </c:pt>
                <c:pt idx="9">
                  <c:v>42674</c:v>
                </c:pt>
                <c:pt idx="10">
                  <c:v>42704</c:v>
                </c:pt>
                <c:pt idx="11">
                  <c:v>42735</c:v>
                </c:pt>
                <c:pt idx="12">
                  <c:v>42766</c:v>
                </c:pt>
                <c:pt idx="13">
                  <c:v>42794</c:v>
                </c:pt>
                <c:pt idx="14">
                  <c:v>42825</c:v>
                </c:pt>
                <c:pt idx="15">
                  <c:v>42855</c:v>
                </c:pt>
                <c:pt idx="16">
                  <c:v>42886</c:v>
                </c:pt>
                <c:pt idx="17">
                  <c:v>42916</c:v>
                </c:pt>
                <c:pt idx="18">
                  <c:v>42947</c:v>
                </c:pt>
                <c:pt idx="19">
                  <c:v>42978</c:v>
                </c:pt>
                <c:pt idx="20">
                  <c:v>43008</c:v>
                </c:pt>
                <c:pt idx="21">
                  <c:v>43039</c:v>
                </c:pt>
                <c:pt idx="22">
                  <c:v>43069</c:v>
                </c:pt>
                <c:pt idx="23">
                  <c:v>43100</c:v>
                </c:pt>
                <c:pt idx="24">
                  <c:v>43131</c:v>
                </c:pt>
                <c:pt idx="25">
                  <c:v>43159</c:v>
                </c:pt>
                <c:pt idx="26">
                  <c:v>43190</c:v>
                </c:pt>
                <c:pt idx="27">
                  <c:v>43220</c:v>
                </c:pt>
                <c:pt idx="28">
                  <c:v>43251</c:v>
                </c:pt>
                <c:pt idx="29">
                  <c:v>43281</c:v>
                </c:pt>
                <c:pt idx="30">
                  <c:v>43312</c:v>
                </c:pt>
                <c:pt idx="31">
                  <c:v>43343</c:v>
                </c:pt>
                <c:pt idx="32">
                  <c:v>43373</c:v>
                </c:pt>
                <c:pt idx="33">
                  <c:v>43404</c:v>
                </c:pt>
                <c:pt idx="34">
                  <c:v>43434</c:v>
                </c:pt>
              </c:numCache>
            </c:numRef>
          </c:cat>
          <c:val>
            <c:numRef>
              <c:f>Sheet1!$D$40:$D$74</c:f>
              <c:numCache>
                <c:formatCode>#,##0.0_ </c:formatCode>
                <c:ptCount val="35"/>
                <c:pt idx="0">
                  <c:v>43.5</c:v>
                </c:pt>
                <c:pt idx="1">
                  <c:v>57</c:v>
                </c:pt>
                <c:pt idx="2">
                  <c:v>61.3</c:v>
                </c:pt>
                <c:pt idx="3">
                  <c:v>57.5</c:v>
                </c:pt>
                <c:pt idx="4">
                  <c:v>55.8</c:v>
                </c:pt>
                <c:pt idx="5">
                  <c:v>53.6</c:v>
                </c:pt>
                <c:pt idx="6">
                  <c:v>53.9</c:v>
                </c:pt>
                <c:pt idx="7">
                  <c:v>55.4</c:v>
                </c:pt>
                <c:pt idx="8">
                  <c:v>56.3</c:v>
                </c:pt>
                <c:pt idx="9">
                  <c:v>55.8</c:v>
                </c:pt>
                <c:pt idx="10">
                  <c:v>53.1</c:v>
                </c:pt>
                <c:pt idx="11">
                  <c:v>47.4</c:v>
                </c:pt>
                <c:pt idx="12">
                  <c:v>57.5</c:v>
                </c:pt>
                <c:pt idx="13">
                  <c:v>59.1</c:v>
                </c:pt>
                <c:pt idx="14">
                  <c:v>58.1</c:v>
                </c:pt>
                <c:pt idx="15">
                  <c:v>56.6</c:v>
                </c:pt>
                <c:pt idx="16">
                  <c:v>56.3</c:v>
                </c:pt>
                <c:pt idx="17">
                  <c:v>57.5</c:v>
                </c:pt>
                <c:pt idx="18">
                  <c:v>56.9</c:v>
                </c:pt>
                <c:pt idx="19">
                  <c:v>56.9</c:v>
                </c:pt>
                <c:pt idx="20">
                  <c:v>57</c:v>
                </c:pt>
                <c:pt idx="21">
                  <c:v>55.4</c:v>
                </c:pt>
                <c:pt idx="22">
                  <c:v>56.2</c:v>
                </c:pt>
                <c:pt idx="23">
                  <c:v>57.2</c:v>
                </c:pt>
                <c:pt idx="24">
                  <c:v>56.1</c:v>
                </c:pt>
                <c:pt idx="25">
                  <c:v>57.6</c:v>
                </c:pt>
                <c:pt idx="26">
                  <c:v>57.6</c:v>
                </c:pt>
                <c:pt idx="27">
                  <c:v>58.2</c:v>
                </c:pt>
                <c:pt idx="28">
                  <c:v>56.9</c:v>
                </c:pt>
                <c:pt idx="29">
                  <c:v>54.7</c:v>
                </c:pt>
                <c:pt idx="30">
                  <c:v>54.4</c:v>
                </c:pt>
                <c:pt idx="31">
                  <c:v>54.2</c:v>
                </c:pt>
                <c:pt idx="32">
                  <c:v>53.2</c:v>
                </c:pt>
                <c:pt idx="33">
                  <c:v>53.8</c:v>
                </c:pt>
                <c:pt idx="34">
                  <c:v>52.6</c:v>
                </c:pt>
              </c:numCache>
            </c:numRef>
          </c:val>
          <c:smooth val="0"/>
          <c:extLst>
            <c:ext xmlns:c16="http://schemas.microsoft.com/office/drawing/2014/chart" uri="{C3380CC4-5D6E-409C-BE32-E72D297353CC}">
              <c16:uniqueId val="{00000002-BE31-3D48-A4E0-6B5FD5E8BE9B}"/>
            </c:ext>
          </c:extLst>
        </c:ser>
        <c:ser>
          <c:idx val="3"/>
          <c:order val="3"/>
          <c:tx>
            <c:strRef>
              <c:f>Sheet1!$E$1</c:f>
              <c:strCache>
                <c:ptCount val="1"/>
                <c:pt idx="0">
                  <c:v>PMI:生产经营活动预期:小型企业</c:v>
                </c:pt>
              </c:strCache>
            </c:strRef>
          </c:tx>
          <c:spPr>
            <a:ln w="28575" cap="rnd">
              <a:solidFill>
                <a:schemeClr val="accent4"/>
              </a:solidFill>
              <a:round/>
            </a:ln>
            <a:effectLst/>
          </c:spPr>
          <c:marker>
            <c:symbol val="x"/>
            <c:size val="5"/>
          </c:marker>
          <c:cat>
            <c:numRef>
              <c:f>Sheet1!$A$40:$A$74</c:f>
              <c:numCache>
                <c:formatCode>yyyy\-mm;@</c:formatCode>
                <c:ptCount val="35"/>
                <c:pt idx="0">
                  <c:v>42400</c:v>
                </c:pt>
                <c:pt idx="1">
                  <c:v>42429</c:v>
                </c:pt>
                <c:pt idx="2">
                  <c:v>42460</c:v>
                </c:pt>
                <c:pt idx="3">
                  <c:v>42490</c:v>
                </c:pt>
                <c:pt idx="4">
                  <c:v>42521</c:v>
                </c:pt>
                <c:pt idx="5">
                  <c:v>42551</c:v>
                </c:pt>
                <c:pt idx="6">
                  <c:v>42582</c:v>
                </c:pt>
                <c:pt idx="7">
                  <c:v>42613</c:v>
                </c:pt>
                <c:pt idx="8">
                  <c:v>42643</c:v>
                </c:pt>
                <c:pt idx="9">
                  <c:v>42674</c:v>
                </c:pt>
                <c:pt idx="10">
                  <c:v>42704</c:v>
                </c:pt>
                <c:pt idx="11">
                  <c:v>42735</c:v>
                </c:pt>
                <c:pt idx="12">
                  <c:v>42766</c:v>
                </c:pt>
                <c:pt idx="13">
                  <c:v>42794</c:v>
                </c:pt>
                <c:pt idx="14">
                  <c:v>42825</c:v>
                </c:pt>
                <c:pt idx="15">
                  <c:v>42855</c:v>
                </c:pt>
                <c:pt idx="16">
                  <c:v>42886</c:v>
                </c:pt>
                <c:pt idx="17">
                  <c:v>42916</c:v>
                </c:pt>
                <c:pt idx="18">
                  <c:v>42947</c:v>
                </c:pt>
                <c:pt idx="19">
                  <c:v>42978</c:v>
                </c:pt>
                <c:pt idx="20">
                  <c:v>43008</c:v>
                </c:pt>
                <c:pt idx="21">
                  <c:v>43039</c:v>
                </c:pt>
                <c:pt idx="22">
                  <c:v>43069</c:v>
                </c:pt>
                <c:pt idx="23">
                  <c:v>43100</c:v>
                </c:pt>
                <c:pt idx="24">
                  <c:v>43131</c:v>
                </c:pt>
                <c:pt idx="25">
                  <c:v>43159</c:v>
                </c:pt>
                <c:pt idx="26">
                  <c:v>43190</c:v>
                </c:pt>
                <c:pt idx="27">
                  <c:v>43220</c:v>
                </c:pt>
                <c:pt idx="28">
                  <c:v>43251</c:v>
                </c:pt>
                <c:pt idx="29">
                  <c:v>43281</c:v>
                </c:pt>
                <c:pt idx="30">
                  <c:v>43312</c:v>
                </c:pt>
                <c:pt idx="31">
                  <c:v>43343</c:v>
                </c:pt>
                <c:pt idx="32">
                  <c:v>43373</c:v>
                </c:pt>
                <c:pt idx="33">
                  <c:v>43404</c:v>
                </c:pt>
                <c:pt idx="34">
                  <c:v>43434</c:v>
                </c:pt>
              </c:numCache>
            </c:numRef>
          </c:cat>
          <c:val>
            <c:numRef>
              <c:f>Sheet1!$E$40:$E$74</c:f>
              <c:numCache>
                <c:formatCode>#,##0.0_ </c:formatCode>
                <c:ptCount val="35"/>
                <c:pt idx="0">
                  <c:v>40.799999999999997</c:v>
                </c:pt>
                <c:pt idx="1">
                  <c:v>53.9</c:v>
                </c:pt>
                <c:pt idx="2">
                  <c:v>58</c:v>
                </c:pt>
                <c:pt idx="3">
                  <c:v>55.4</c:v>
                </c:pt>
                <c:pt idx="4">
                  <c:v>50.5</c:v>
                </c:pt>
                <c:pt idx="5">
                  <c:v>50.6</c:v>
                </c:pt>
                <c:pt idx="6">
                  <c:v>53.7</c:v>
                </c:pt>
                <c:pt idx="7">
                  <c:v>55.5</c:v>
                </c:pt>
                <c:pt idx="8">
                  <c:v>53.2</c:v>
                </c:pt>
                <c:pt idx="9">
                  <c:v>50.5</c:v>
                </c:pt>
                <c:pt idx="10">
                  <c:v>49.7</c:v>
                </c:pt>
                <c:pt idx="11">
                  <c:v>46.1</c:v>
                </c:pt>
                <c:pt idx="12">
                  <c:v>51.9</c:v>
                </c:pt>
                <c:pt idx="13">
                  <c:v>54.9</c:v>
                </c:pt>
                <c:pt idx="14">
                  <c:v>56.4</c:v>
                </c:pt>
                <c:pt idx="15">
                  <c:v>54.7</c:v>
                </c:pt>
                <c:pt idx="16">
                  <c:v>55</c:v>
                </c:pt>
                <c:pt idx="17">
                  <c:v>54.8</c:v>
                </c:pt>
                <c:pt idx="18">
                  <c:v>55.1</c:v>
                </c:pt>
                <c:pt idx="19">
                  <c:v>55.6</c:v>
                </c:pt>
                <c:pt idx="20">
                  <c:v>54.1</c:v>
                </c:pt>
                <c:pt idx="21">
                  <c:v>52</c:v>
                </c:pt>
                <c:pt idx="22">
                  <c:v>54.5</c:v>
                </c:pt>
                <c:pt idx="23">
                  <c:v>53.8</c:v>
                </c:pt>
                <c:pt idx="24">
                  <c:v>52</c:v>
                </c:pt>
                <c:pt idx="25">
                  <c:v>54.7</c:v>
                </c:pt>
                <c:pt idx="26">
                  <c:v>59.6</c:v>
                </c:pt>
                <c:pt idx="27">
                  <c:v>57.3</c:v>
                </c:pt>
                <c:pt idx="28">
                  <c:v>58.2</c:v>
                </c:pt>
                <c:pt idx="29">
                  <c:v>58</c:v>
                </c:pt>
                <c:pt idx="30">
                  <c:v>57.2</c:v>
                </c:pt>
                <c:pt idx="31">
                  <c:v>55.5</c:v>
                </c:pt>
                <c:pt idx="32">
                  <c:v>54.8</c:v>
                </c:pt>
                <c:pt idx="33">
                  <c:v>55.8</c:v>
                </c:pt>
                <c:pt idx="34">
                  <c:v>52.8</c:v>
                </c:pt>
              </c:numCache>
            </c:numRef>
          </c:val>
          <c:smooth val="0"/>
          <c:extLst>
            <c:ext xmlns:c16="http://schemas.microsoft.com/office/drawing/2014/chart" uri="{C3380CC4-5D6E-409C-BE32-E72D297353CC}">
              <c16:uniqueId val="{00000003-BE31-3D48-A4E0-6B5FD5E8BE9B}"/>
            </c:ext>
          </c:extLst>
        </c:ser>
        <c:dLbls>
          <c:showLegendKey val="0"/>
          <c:showVal val="0"/>
          <c:showCatName val="0"/>
          <c:showSerName val="0"/>
          <c:showPercent val="0"/>
          <c:showBubbleSize val="0"/>
        </c:dLbls>
        <c:smooth val="0"/>
        <c:axId val="203166208"/>
        <c:axId val="318465152"/>
      </c:lineChart>
      <c:dateAx>
        <c:axId val="203166208"/>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18465152"/>
        <c:crosses val="autoZero"/>
        <c:auto val="1"/>
        <c:lblOffset val="100"/>
        <c:baseTimeUnit val="months"/>
      </c:dateAx>
      <c:valAx>
        <c:axId val="318465152"/>
        <c:scaling>
          <c:orientation val="minMax"/>
          <c:min val="40"/>
        </c:scaling>
        <c:delete val="0"/>
        <c:axPos val="l"/>
        <c:numFmt formatCode="#,##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0316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'1-1、季度GDP+登记失业率+季末货币余额'!$B$2</c:f>
              <c:strCache>
                <c:ptCount val="1"/>
                <c:pt idx="0">
                  <c:v>M2</c:v>
                </c:pt>
              </c:strCache>
            </c:strRef>
          </c:tx>
          <c:spPr>
            <a:ln w="28575" cap="rnd">
              <a:solidFill>
                <a:schemeClr val="accent1"/>
              </a:solidFill>
              <a:round/>
            </a:ln>
            <a:effectLst/>
          </c:spPr>
          <c:marker>
            <c:symbol val="none"/>
          </c:marker>
          <c:cat>
            <c:numRef>
              <c:f>'1-1、季度GDP+登记失业率+季末货币余额'!$A$134:$A$148</c:f>
              <c:numCache>
                <c:formatCode>yyyy\-mm;@</c:formatCode>
                <c:ptCount val="15"/>
                <c:pt idx="0">
                  <c:v>42094</c:v>
                </c:pt>
                <c:pt idx="1">
                  <c:v>42185</c:v>
                </c:pt>
                <c:pt idx="2">
                  <c:v>42277</c:v>
                </c:pt>
                <c:pt idx="3">
                  <c:v>42369</c:v>
                </c:pt>
                <c:pt idx="4">
                  <c:v>42460</c:v>
                </c:pt>
                <c:pt idx="5">
                  <c:v>42551</c:v>
                </c:pt>
                <c:pt idx="6">
                  <c:v>42643</c:v>
                </c:pt>
                <c:pt idx="7">
                  <c:v>42735</c:v>
                </c:pt>
                <c:pt idx="8">
                  <c:v>42825</c:v>
                </c:pt>
                <c:pt idx="9">
                  <c:v>42916</c:v>
                </c:pt>
                <c:pt idx="10">
                  <c:v>43008</c:v>
                </c:pt>
                <c:pt idx="11">
                  <c:v>43100</c:v>
                </c:pt>
                <c:pt idx="12">
                  <c:v>43190</c:v>
                </c:pt>
                <c:pt idx="13">
                  <c:v>43281</c:v>
                </c:pt>
                <c:pt idx="14">
                  <c:v>43373</c:v>
                </c:pt>
              </c:numCache>
            </c:numRef>
          </c:cat>
          <c:val>
            <c:numRef>
              <c:f>'1-1、季度GDP+登记失业率+季末货币余额'!$B$134:$B$148</c:f>
              <c:numCache>
                <c:formatCode>0.0%</c:formatCode>
                <c:ptCount val="15"/>
                <c:pt idx="0">
                  <c:v>9.8773711143477883E-2</c:v>
                </c:pt>
                <c:pt idx="1">
                  <c:v>0.10233917819236216</c:v>
                </c:pt>
                <c:pt idx="2">
                  <c:v>0.13125283052577608</c:v>
                </c:pt>
                <c:pt idx="3">
                  <c:v>0.13343101687342496</c:v>
                </c:pt>
                <c:pt idx="4">
                  <c:v>0.13397699226393289</c:v>
                </c:pt>
                <c:pt idx="5">
                  <c:v>0.11783363838371819</c:v>
                </c:pt>
                <c:pt idx="6">
                  <c:v>0.11511521571400918</c:v>
                </c:pt>
                <c:pt idx="7">
                  <c:v>0.11333120794379181</c:v>
                </c:pt>
                <c:pt idx="8">
                  <c:v>0.11183872930597194</c:v>
                </c:pt>
                <c:pt idx="9">
                  <c:v>9.9970501012407231E-2</c:v>
                </c:pt>
                <c:pt idx="10">
                  <c:v>9.7144151407267509E-2</c:v>
                </c:pt>
                <c:pt idx="11">
                  <c:v>9.0427494321905444E-2</c:v>
                </c:pt>
                <c:pt idx="12">
                  <c:v>8.2043225297019573E-2</c:v>
                </c:pt>
                <c:pt idx="13">
                  <c:v>7.9708181347164508E-2</c:v>
                </c:pt>
                <c:pt idx="14">
                  <c:v>8.2949054389974464E-2</c:v>
                </c:pt>
              </c:numCache>
            </c:numRef>
          </c:val>
          <c:smooth val="0"/>
          <c:extLst>
            <c:ext xmlns:c16="http://schemas.microsoft.com/office/drawing/2014/chart" uri="{C3380CC4-5D6E-409C-BE32-E72D297353CC}">
              <c16:uniqueId val="{00000000-52B4-BF43-841D-CEFB48F553FA}"/>
            </c:ext>
          </c:extLst>
        </c:ser>
        <c:ser>
          <c:idx val="1"/>
          <c:order val="1"/>
          <c:tx>
            <c:strRef>
              <c:f>'1-1、季度GDP+登记失业率+季末货币余额'!$C$2</c:f>
              <c:strCache>
                <c:ptCount val="1"/>
                <c:pt idx="0">
                  <c:v>基础货币余额</c:v>
                </c:pt>
              </c:strCache>
            </c:strRef>
          </c:tx>
          <c:spPr>
            <a:ln w="28575" cap="rnd">
              <a:solidFill>
                <a:schemeClr val="accent2"/>
              </a:solidFill>
              <a:round/>
            </a:ln>
            <a:effectLst/>
          </c:spPr>
          <c:marker>
            <c:symbol val="x"/>
            <c:size val="5"/>
            <c:spPr>
              <a:noFill/>
              <a:ln w="9525">
                <a:solidFill>
                  <a:schemeClr val="accent2"/>
                </a:solidFill>
              </a:ln>
              <a:effectLst/>
            </c:spPr>
          </c:marker>
          <c:cat>
            <c:numRef>
              <c:f>'1-1、季度GDP+登记失业率+季末货币余额'!$A$134:$A$148</c:f>
              <c:numCache>
                <c:formatCode>yyyy\-mm;@</c:formatCode>
                <c:ptCount val="15"/>
                <c:pt idx="0">
                  <c:v>42094</c:v>
                </c:pt>
                <c:pt idx="1">
                  <c:v>42185</c:v>
                </c:pt>
                <c:pt idx="2">
                  <c:v>42277</c:v>
                </c:pt>
                <c:pt idx="3">
                  <c:v>42369</c:v>
                </c:pt>
                <c:pt idx="4">
                  <c:v>42460</c:v>
                </c:pt>
                <c:pt idx="5">
                  <c:v>42551</c:v>
                </c:pt>
                <c:pt idx="6">
                  <c:v>42643</c:v>
                </c:pt>
                <c:pt idx="7">
                  <c:v>42735</c:v>
                </c:pt>
                <c:pt idx="8">
                  <c:v>42825</c:v>
                </c:pt>
                <c:pt idx="9">
                  <c:v>42916</c:v>
                </c:pt>
                <c:pt idx="10">
                  <c:v>43008</c:v>
                </c:pt>
                <c:pt idx="11">
                  <c:v>43100</c:v>
                </c:pt>
                <c:pt idx="12">
                  <c:v>43190</c:v>
                </c:pt>
                <c:pt idx="13">
                  <c:v>43281</c:v>
                </c:pt>
                <c:pt idx="14">
                  <c:v>43373</c:v>
                </c:pt>
              </c:numCache>
            </c:numRef>
          </c:cat>
          <c:val>
            <c:numRef>
              <c:f>'1-1、季度GDP+登记失业率+季末货币余额'!$C$134:$C$148</c:f>
              <c:numCache>
                <c:formatCode>0.0%</c:formatCode>
                <c:ptCount val="15"/>
                <c:pt idx="0">
                  <c:v>7.5829480516351966E-2</c:v>
                </c:pt>
                <c:pt idx="1">
                  <c:v>3.0758712075974914E-2</c:v>
                </c:pt>
                <c:pt idx="2">
                  <c:v>-2.0046416355243402E-2</c:v>
                </c:pt>
                <c:pt idx="3">
                  <c:v>-5.9971894735929454E-2</c:v>
                </c:pt>
                <c:pt idx="4">
                  <c:v>-4.1678267322048823E-2</c:v>
                </c:pt>
                <c:pt idx="5">
                  <c:v>8.5104832030569177E-4</c:v>
                </c:pt>
                <c:pt idx="6">
                  <c:v>3.8210718078560468E-2</c:v>
                </c:pt>
                <c:pt idx="7">
                  <c:v>0.11776679044556015</c:v>
                </c:pt>
                <c:pt idx="8">
                  <c:v>7.1905013130521001E-2</c:v>
                </c:pt>
                <c:pt idx="9">
                  <c:v>5.695489482756444E-2</c:v>
                </c:pt>
                <c:pt idx="10">
                  <c:v>5.8612286570413286E-2</c:v>
                </c:pt>
                <c:pt idx="11">
                  <c:v>5.0661424471394545E-2</c:v>
                </c:pt>
                <c:pt idx="12">
                  <c:v>5.8042266510394347E-2</c:v>
                </c:pt>
                <c:pt idx="13">
                  <c:v>4.2811678747171511E-2</c:v>
                </c:pt>
                <c:pt idx="14">
                  <c:v>3.3824248553443237E-2</c:v>
                </c:pt>
              </c:numCache>
            </c:numRef>
          </c:val>
          <c:smooth val="0"/>
          <c:extLst>
            <c:ext xmlns:c16="http://schemas.microsoft.com/office/drawing/2014/chart" uri="{C3380CC4-5D6E-409C-BE32-E72D297353CC}">
              <c16:uniqueId val="{00000001-52B4-BF43-841D-CEFB48F553FA}"/>
            </c:ext>
          </c:extLst>
        </c:ser>
        <c:ser>
          <c:idx val="2"/>
          <c:order val="2"/>
          <c:tx>
            <c:strRef>
              <c:f>'1-1、季度GDP+登记失业率+季末货币余额'!$D$2</c:f>
              <c:strCache>
                <c:ptCount val="1"/>
                <c:pt idx="0">
                  <c:v>社会融资规模存量</c:v>
                </c:pt>
              </c:strCache>
            </c:strRef>
          </c:tx>
          <c:spPr>
            <a:ln w="28575" cap="rnd">
              <a:solidFill>
                <a:schemeClr val="accent3"/>
              </a:solidFill>
              <a:round/>
            </a:ln>
            <a:effectLst/>
          </c:spPr>
          <c:marker>
            <c:symbol val="square"/>
            <c:size val="5"/>
            <c:spPr>
              <a:solidFill>
                <a:schemeClr val="accent3"/>
              </a:solidFill>
              <a:ln w="9525">
                <a:solidFill>
                  <a:schemeClr val="accent3"/>
                </a:solidFill>
              </a:ln>
              <a:effectLst/>
            </c:spPr>
          </c:marker>
          <c:cat>
            <c:numRef>
              <c:f>'1-1、季度GDP+登记失业率+季末货币余额'!$A$134:$A$148</c:f>
              <c:numCache>
                <c:formatCode>yyyy\-mm;@</c:formatCode>
                <c:ptCount val="15"/>
                <c:pt idx="0">
                  <c:v>42094</c:v>
                </c:pt>
                <c:pt idx="1">
                  <c:v>42185</c:v>
                </c:pt>
                <c:pt idx="2">
                  <c:v>42277</c:v>
                </c:pt>
                <c:pt idx="3">
                  <c:v>42369</c:v>
                </c:pt>
                <c:pt idx="4">
                  <c:v>42460</c:v>
                </c:pt>
                <c:pt idx="5">
                  <c:v>42551</c:v>
                </c:pt>
                <c:pt idx="6">
                  <c:v>42643</c:v>
                </c:pt>
                <c:pt idx="7">
                  <c:v>42735</c:v>
                </c:pt>
                <c:pt idx="8">
                  <c:v>42825</c:v>
                </c:pt>
                <c:pt idx="9">
                  <c:v>42916</c:v>
                </c:pt>
                <c:pt idx="10">
                  <c:v>43008</c:v>
                </c:pt>
                <c:pt idx="11">
                  <c:v>43100</c:v>
                </c:pt>
                <c:pt idx="12">
                  <c:v>43190</c:v>
                </c:pt>
                <c:pt idx="13">
                  <c:v>43281</c:v>
                </c:pt>
                <c:pt idx="14">
                  <c:v>43373</c:v>
                </c:pt>
              </c:numCache>
            </c:numRef>
          </c:cat>
          <c:val>
            <c:numRef>
              <c:f>'1-1、季度GDP+登记失业率+季末货币余额'!$D$134:$D$148</c:f>
              <c:numCache>
                <c:formatCode>General</c:formatCode>
                <c:ptCount val="15"/>
                <c:pt idx="3" formatCode="0.0%">
                  <c:v>0.12436360025427495</c:v>
                </c:pt>
                <c:pt idx="4" formatCode="0.0%">
                  <c:v>0.13458222291895283</c:v>
                </c:pt>
                <c:pt idx="5" formatCode="0.0%">
                  <c:v>0.12471500227998167</c:v>
                </c:pt>
                <c:pt idx="6" formatCode="0.0%">
                  <c:v>0.12476912204015922</c:v>
                </c:pt>
                <c:pt idx="7" formatCode="0.0%">
                  <c:v>0.12923063335801888</c:v>
                </c:pt>
                <c:pt idx="8" formatCode="0.0%">
                  <c:v>0.16278618307426607</c:v>
                </c:pt>
                <c:pt idx="9" formatCode="0.0%">
                  <c:v>0.16998107980268928</c:v>
                </c:pt>
                <c:pt idx="10" formatCode="0.0%">
                  <c:v>0.17747937429872618</c:v>
                </c:pt>
                <c:pt idx="11" formatCode="0.0%">
                  <c:v>0.17231360984678501</c:v>
                </c:pt>
                <c:pt idx="12" formatCode="0.0%">
                  <c:v>0.11917061812702845</c:v>
                </c:pt>
                <c:pt idx="13" formatCode="0.0%">
                  <c:v>0.11101241441446663</c:v>
                </c:pt>
                <c:pt idx="14" formatCode="0.0%">
                  <c:v>0.10575230143066228</c:v>
                </c:pt>
              </c:numCache>
            </c:numRef>
          </c:val>
          <c:smooth val="0"/>
          <c:extLst>
            <c:ext xmlns:c16="http://schemas.microsoft.com/office/drawing/2014/chart" uri="{C3380CC4-5D6E-409C-BE32-E72D297353CC}">
              <c16:uniqueId val="{00000002-52B4-BF43-841D-CEFB48F553FA}"/>
            </c:ext>
          </c:extLst>
        </c:ser>
        <c:ser>
          <c:idx val="3"/>
          <c:order val="3"/>
          <c:tx>
            <c:strRef>
              <c:f>'1-1、季度GDP+登记失业率+季末货币余额'!$G$2</c:f>
              <c:strCache>
                <c:ptCount val="1"/>
                <c:pt idx="0">
                  <c:v>当季名义GDP增长率</c:v>
                </c:pt>
              </c:strCache>
            </c:strRef>
          </c:tx>
          <c:spPr>
            <a:ln w="28575" cap="rnd">
              <a:solidFill>
                <a:schemeClr val="accent4"/>
              </a:solidFill>
              <a:round/>
            </a:ln>
            <a:effectLst/>
          </c:spPr>
          <c:marker>
            <c:symbol val="diamond"/>
            <c:size val="6"/>
            <c:spPr>
              <a:solidFill>
                <a:schemeClr val="accent4"/>
              </a:solidFill>
              <a:ln w="9525">
                <a:solidFill>
                  <a:schemeClr val="accent4"/>
                </a:solidFill>
              </a:ln>
              <a:effectLst/>
            </c:spPr>
          </c:marker>
          <c:cat>
            <c:numRef>
              <c:f>'1-1、季度GDP+登记失业率+季末货币余额'!$A$134:$A$148</c:f>
              <c:numCache>
                <c:formatCode>yyyy\-mm;@</c:formatCode>
                <c:ptCount val="15"/>
                <c:pt idx="0">
                  <c:v>42094</c:v>
                </c:pt>
                <c:pt idx="1">
                  <c:v>42185</c:v>
                </c:pt>
                <c:pt idx="2">
                  <c:v>42277</c:v>
                </c:pt>
                <c:pt idx="3">
                  <c:v>42369</c:v>
                </c:pt>
                <c:pt idx="4">
                  <c:v>42460</c:v>
                </c:pt>
                <c:pt idx="5">
                  <c:v>42551</c:v>
                </c:pt>
                <c:pt idx="6">
                  <c:v>42643</c:v>
                </c:pt>
                <c:pt idx="7">
                  <c:v>42735</c:v>
                </c:pt>
                <c:pt idx="8">
                  <c:v>42825</c:v>
                </c:pt>
                <c:pt idx="9">
                  <c:v>42916</c:v>
                </c:pt>
                <c:pt idx="10">
                  <c:v>43008</c:v>
                </c:pt>
                <c:pt idx="11">
                  <c:v>43100</c:v>
                </c:pt>
                <c:pt idx="12">
                  <c:v>43190</c:v>
                </c:pt>
                <c:pt idx="13">
                  <c:v>43281</c:v>
                </c:pt>
                <c:pt idx="14">
                  <c:v>43373</c:v>
                </c:pt>
              </c:numCache>
            </c:numRef>
          </c:cat>
          <c:val>
            <c:numRef>
              <c:f>'1-1、季度GDP+登记失业率+季末货币余额'!$G$134:$G$148</c:f>
              <c:numCache>
                <c:formatCode>0.0%</c:formatCode>
                <c:ptCount val="15"/>
                <c:pt idx="0">
                  <c:v>7.3734357476943124E-2</c:v>
                </c:pt>
                <c:pt idx="1">
                  <c:v>7.6962801664053782E-2</c:v>
                </c:pt>
                <c:pt idx="2">
                  <c:v>6.6371214137306955E-2</c:v>
                </c:pt>
                <c:pt idx="3">
                  <c:v>6.4406882563161405E-2</c:v>
                </c:pt>
                <c:pt idx="4">
                  <c:v>6.9341206874512729E-2</c:v>
                </c:pt>
                <c:pt idx="5">
                  <c:v>7.1880025874910158E-2</c:v>
                </c:pt>
                <c:pt idx="6">
                  <c:v>7.7258044800985193E-2</c:v>
                </c:pt>
                <c:pt idx="7">
                  <c:v>9.4888875867958689E-2</c:v>
                </c:pt>
                <c:pt idx="8">
                  <c:v>0.11723915387631201</c:v>
                </c:pt>
                <c:pt idx="9">
                  <c:v>0.11042106137364005</c:v>
                </c:pt>
                <c:pt idx="10">
                  <c:v>0.1115386575206172</c:v>
                </c:pt>
                <c:pt idx="11">
                  <c:v>0.11096682285791148</c:v>
                </c:pt>
                <c:pt idx="12">
                  <c:v>0.10199168114031476</c:v>
                </c:pt>
                <c:pt idx="13">
                  <c:v>9.7823230804746863E-2</c:v>
                </c:pt>
                <c:pt idx="14">
                  <c:v>9.6137205186310748E-2</c:v>
                </c:pt>
              </c:numCache>
            </c:numRef>
          </c:val>
          <c:smooth val="0"/>
          <c:extLst>
            <c:ext xmlns:c16="http://schemas.microsoft.com/office/drawing/2014/chart" uri="{C3380CC4-5D6E-409C-BE32-E72D297353CC}">
              <c16:uniqueId val="{00000003-52B4-BF43-841D-CEFB48F553FA}"/>
            </c:ext>
          </c:extLst>
        </c:ser>
        <c:dLbls>
          <c:showLegendKey val="0"/>
          <c:showVal val="0"/>
          <c:showCatName val="0"/>
          <c:showSerName val="0"/>
          <c:showPercent val="0"/>
          <c:showBubbleSize val="0"/>
        </c:dLbls>
        <c:smooth val="0"/>
        <c:axId val="203166720"/>
        <c:axId val="318466880"/>
      </c:lineChart>
      <c:dateAx>
        <c:axId val="203166720"/>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18466880"/>
        <c:crosses val="autoZero"/>
        <c:auto val="1"/>
        <c:lblOffset val="100"/>
        <c:baseTimeUnit val="months"/>
      </c:dateAx>
      <c:valAx>
        <c:axId val="318466880"/>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0316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名义总需求增速</c:v>
          </c:tx>
          <c:spPr>
            <a:ln w="28575" cap="rnd">
              <a:solidFill>
                <a:schemeClr val="accent1"/>
              </a:solidFill>
              <a:round/>
            </a:ln>
            <a:effectLst/>
          </c:spPr>
          <c:marker>
            <c:symbol val="none"/>
          </c:marker>
          <c:cat>
            <c:numRef>
              <c:f>Sheet1!$A$136:$A$290</c:f>
              <c:numCache>
                <c:formatCode>yyyy\-mm;@</c:formatCode>
                <c:ptCount val="155"/>
                <c:pt idx="0">
                  <c:v>29311</c:v>
                </c:pt>
                <c:pt idx="1">
                  <c:v>29402</c:v>
                </c:pt>
                <c:pt idx="2">
                  <c:v>29494</c:v>
                </c:pt>
                <c:pt idx="3">
                  <c:v>29586</c:v>
                </c:pt>
                <c:pt idx="4">
                  <c:v>29676</c:v>
                </c:pt>
                <c:pt idx="5">
                  <c:v>29767</c:v>
                </c:pt>
                <c:pt idx="6">
                  <c:v>29859</c:v>
                </c:pt>
                <c:pt idx="7">
                  <c:v>29951</c:v>
                </c:pt>
                <c:pt idx="8">
                  <c:v>30041</c:v>
                </c:pt>
                <c:pt idx="9">
                  <c:v>30132</c:v>
                </c:pt>
                <c:pt idx="10">
                  <c:v>30224</c:v>
                </c:pt>
                <c:pt idx="11">
                  <c:v>30316</c:v>
                </c:pt>
                <c:pt idx="12">
                  <c:v>30406</c:v>
                </c:pt>
                <c:pt idx="13">
                  <c:v>30497</c:v>
                </c:pt>
                <c:pt idx="14">
                  <c:v>30589</c:v>
                </c:pt>
                <c:pt idx="15">
                  <c:v>30681</c:v>
                </c:pt>
                <c:pt idx="16">
                  <c:v>30772</c:v>
                </c:pt>
                <c:pt idx="17">
                  <c:v>30863</c:v>
                </c:pt>
                <c:pt idx="18">
                  <c:v>30955</c:v>
                </c:pt>
                <c:pt idx="19">
                  <c:v>31047</c:v>
                </c:pt>
                <c:pt idx="20">
                  <c:v>31137</c:v>
                </c:pt>
                <c:pt idx="21">
                  <c:v>31228</c:v>
                </c:pt>
                <c:pt idx="22">
                  <c:v>31320</c:v>
                </c:pt>
                <c:pt idx="23">
                  <c:v>31412</c:v>
                </c:pt>
                <c:pt idx="24">
                  <c:v>31502</c:v>
                </c:pt>
                <c:pt idx="25">
                  <c:v>31593</c:v>
                </c:pt>
                <c:pt idx="26">
                  <c:v>31685</c:v>
                </c:pt>
                <c:pt idx="27">
                  <c:v>31777</c:v>
                </c:pt>
                <c:pt idx="28">
                  <c:v>31867</c:v>
                </c:pt>
                <c:pt idx="29">
                  <c:v>31958</c:v>
                </c:pt>
                <c:pt idx="30">
                  <c:v>32050</c:v>
                </c:pt>
                <c:pt idx="31">
                  <c:v>32142</c:v>
                </c:pt>
                <c:pt idx="32">
                  <c:v>32233</c:v>
                </c:pt>
                <c:pt idx="33">
                  <c:v>32324</c:v>
                </c:pt>
                <c:pt idx="34">
                  <c:v>32416</c:v>
                </c:pt>
                <c:pt idx="35">
                  <c:v>32508</c:v>
                </c:pt>
                <c:pt idx="36">
                  <c:v>32598</c:v>
                </c:pt>
                <c:pt idx="37">
                  <c:v>32689</c:v>
                </c:pt>
                <c:pt idx="38">
                  <c:v>32781</c:v>
                </c:pt>
                <c:pt idx="39">
                  <c:v>32873</c:v>
                </c:pt>
                <c:pt idx="40">
                  <c:v>32963</c:v>
                </c:pt>
                <c:pt idx="41">
                  <c:v>33054</c:v>
                </c:pt>
                <c:pt idx="42">
                  <c:v>33146</c:v>
                </c:pt>
                <c:pt idx="43">
                  <c:v>33238</c:v>
                </c:pt>
                <c:pt idx="44">
                  <c:v>33328</c:v>
                </c:pt>
                <c:pt idx="45">
                  <c:v>33419</c:v>
                </c:pt>
                <c:pt idx="46">
                  <c:v>33511</c:v>
                </c:pt>
                <c:pt idx="47">
                  <c:v>33603</c:v>
                </c:pt>
                <c:pt idx="48">
                  <c:v>33694</c:v>
                </c:pt>
                <c:pt idx="49">
                  <c:v>33785</c:v>
                </c:pt>
                <c:pt idx="50">
                  <c:v>33877</c:v>
                </c:pt>
                <c:pt idx="51">
                  <c:v>33969</c:v>
                </c:pt>
                <c:pt idx="52">
                  <c:v>34059</c:v>
                </c:pt>
                <c:pt idx="53">
                  <c:v>34150</c:v>
                </c:pt>
                <c:pt idx="54">
                  <c:v>34242</c:v>
                </c:pt>
                <c:pt idx="55">
                  <c:v>34334</c:v>
                </c:pt>
                <c:pt idx="56">
                  <c:v>34424</c:v>
                </c:pt>
                <c:pt idx="57">
                  <c:v>34515</c:v>
                </c:pt>
                <c:pt idx="58">
                  <c:v>34607</c:v>
                </c:pt>
                <c:pt idx="59">
                  <c:v>34699</c:v>
                </c:pt>
                <c:pt idx="60">
                  <c:v>34789</c:v>
                </c:pt>
                <c:pt idx="61">
                  <c:v>34880</c:v>
                </c:pt>
                <c:pt idx="62">
                  <c:v>34972</c:v>
                </c:pt>
                <c:pt idx="63">
                  <c:v>35064</c:v>
                </c:pt>
                <c:pt idx="64">
                  <c:v>35155</c:v>
                </c:pt>
                <c:pt idx="65">
                  <c:v>35246</c:v>
                </c:pt>
                <c:pt idx="66">
                  <c:v>35338</c:v>
                </c:pt>
                <c:pt idx="67">
                  <c:v>35430</c:v>
                </c:pt>
                <c:pt idx="68">
                  <c:v>35520</c:v>
                </c:pt>
                <c:pt idx="69">
                  <c:v>35611</c:v>
                </c:pt>
                <c:pt idx="70">
                  <c:v>35703</c:v>
                </c:pt>
                <c:pt idx="71">
                  <c:v>35795</c:v>
                </c:pt>
                <c:pt idx="72">
                  <c:v>35885</c:v>
                </c:pt>
                <c:pt idx="73">
                  <c:v>35976</c:v>
                </c:pt>
                <c:pt idx="74">
                  <c:v>36068</c:v>
                </c:pt>
                <c:pt idx="75">
                  <c:v>36160</c:v>
                </c:pt>
                <c:pt idx="76">
                  <c:v>36250</c:v>
                </c:pt>
                <c:pt idx="77">
                  <c:v>36341</c:v>
                </c:pt>
                <c:pt idx="78">
                  <c:v>36433</c:v>
                </c:pt>
                <c:pt idx="79">
                  <c:v>36525</c:v>
                </c:pt>
                <c:pt idx="80">
                  <c:v>36616</c:v>
                </c:pt>
                <c:pt idx="81">
                  <c:v>36707</c:v>
                </c:pt>
                <c:pt idx="82">
                  <c:v>36799</c:v>
                </c:pt>
                <c:pt idx="83">
                  <c:v>36891</c:v>
                </c:pt>
                <c:pt idx="84">
                  <c:v>36981</c:v>
                </c:pt>
                <c:pt idx="85">
                  <c:v>37072</c:v>
                </c:pt>
                <c:pt idx="86">
                  <c:v>37164</c:v>
                </c:pt>
                <c:pt idx="87">
                  <c:v>37256</c:v>
                </c:pt>
                <c:pt idx="88">
                  <c:v>37346</c:v>
                </c:pt>
                <c:pt idx="89">
                  <c:v>37437</c:v>
                </c:pt>
                <c:pt idx="90">
                  <c:v>37529</c:v>
                </c:pt>
                <c:pt idx="91">
                  <c:v>37621</c:v>
                </c:pt>
                <c:pt idx="92">
                  <c:v>37711</c:v>
                </c:pt>
                <c:pt idx="93">
                  <c:v>37802</c:v>
                </c:pt>
                <c:pt idx="94">
                  <c:v>37894</c:v>
                </c:pt>
                <c:pt idx="95">
                  <c:v>37986</c:v>
                </c:pt>
                <c:pt idx="96">
                  <c:v>38077</c:v>
                </c:pt>
                <c:pt idx="97">
                  <c:v>38168</c:v>
                </c:pt>
                <c:pt idx="98">
                  <c:v>38260</c:v>
                </c:pt>
                <c:pt idx="99">
                  <c:v>38352</c:v>
                </c:pt>
                <c:pt idx="100">
                  <c:v>38442</c:v>
                </c:pt>
                <c:pt idx="101">
                  <c:v>38533</c:v>
                </c:pt>
                <c:pt idx="102">
                  <c:v>38625</c:v>
                </c:pt>
                <c:pt idx="103">
                  <c:v>38717</c:v>
                </c:pt>
                <c:pt idx="104">
                  <c:v>38807</c:v>
                </c:pt>
                <c:pt idx="105">
                  <c:v>38898</c:v>
                </c:pt>
                <c:pt idx="106">
                  <c:v>38990</c:v>
                </c:pt>
                <c:pt idx="107">
                  <c:v>39082</c:v>
                </c:pt>
                <c:pt idx="108">
                  <c:v>39172</c:v>
                </c:pt>
                <c:pt idx="109">
                  <c:v>39263</c:v>
                </c:pt>
                <c:pt idx="110">
                  <c:v>39355</c:v>
                </c:pt>
                <c:pt idx="111">
                  <c:v>39447</c:v>
                </c:pt>
                <c:pt idx="112">
                  <c:v>39538</c:v>
                </c:pt>
                <c:pt idx="113">
                  <c:v>39629</c:v>
                </c:pt>
                <c:pt idx="114">
                  <c:v>39721</c:v>
                </c:pt>
                <c:pt idx="115">
                  <c:v>39813</c:v>
                </c:pt>
                <c:pt idx="116">
                  <c:v>39903</c:v>
                </c:pt>
                <c:pt idx="117">
                  <c:v>39994</c:v>
                </c:pt>
                <c:pt idx="118">
                  <c:v>40086</c:v>
                </c:pt>
                <c:pt idx="119">
                  <c:v>40178</c:v>
                </c:pt>
                <c:pt idx="120">
                  <c:v>40268</c:v>
                </c:pt>
                <c:pt idx="121">
                  <c:v>40359</c:v>
                </c:pt>
                <c:pt idx="122">
                  <c:v>40451</c:v>
                </c:pt>
                <c:pt idx="123">
                  <c:v>40543</c:v>
                </c:pt>
                <c:pt idx="124">
                  <c:v>40633</c:v>
                </c:pt>
                <c:pt idx="125">
                  <c:v>40724</c:v>
                </c:pt>
                <c:pt idx="126">
                  <c:v>40816</c:v>
                </c:pt>
                <c:pt idx="127">
                  <c:v>40908</c:v>
                </c:pt>
                <c:pt idx="128">
                  <c:v>40999</c:v>
                </c:pt>
                <c:pt idx="129">
                  <c:v>41090</c:v>
                </c:pt>
                <c:pt idx="130">
                  <c:v>41182</c:v>
                </c:pt>
                <c:pt idx="131">
                  <c:v>41274</c:v>
                </c:pt>
                <c:pt idx="132">
                  <c:v>41364</c:v>
                </c:pt>
                <c:pt idx="133">
                  <c:v>41455</c:v>
                </c:pt>
                <c:pt idx="134">
                  <c:v>41547</c:v>
                </c:pt>
                <c:pt idx="135">
                  <c:v>41639</c:v>
                </c:pt>
                <c:pt idx="136">
                  <c:v>41729</c:v>
                </c:pt>
                <c:pt idx="137">
                  <c:v>41820</c:v>
                </c:pt>
                <c:pt idx="138">
                  <c:v>41912</c:v>
                </c:pt>
                <c:pt idx="139">
                  <c:v>42004</c:v>
                </c:pt>
                <c:pt idx="140">
                  <c:v>42094</c:v>
                </c:pt>
                <c:pt idx="141">
                  <c:v>42185</c:v>
                </c:pt>
                <c:pt idx="142">
                  <c:v>42277</c:v>
                </c:pt>
                <c:pt idx="143">
                  <c:v>42369</c:v>
                </c:pt>
                <c:pt idx="144">
                  <c:v>42460</c:v>
                </c:pt>
                <c:pt idx="145">
                  <c:v>42551</c:v>
                </c:pt>
                <c:pt idx="146">
                  <c:v>42643</c:v>
                </c:pt>
                <c:pt idx="147">
                  <c:v>42735</c:v>
                </c:pt>
                <c:pt idx="148">
                  <c:v>42825</c:v>
                </c:pt>
                <c:pt idx="149">
                  <c:v>42916</c:v>
                </c:pt>
                <c:pt idx="150">
                  <c:v>43008</c:v>
                </c:pt>
                <c:pt idx="151">
                  <c:v>43100</c:v>
                </c:pt>
                <c:pt idx="152">
                  <c:v>43190</c:v>
                </c:pt>
                <c:pt idx="153">
                  <c:v>43281</c:v>
                </c:pt>
                <c:pt idx="154">
                  <c:v>43373</c:v>
                </c:pt>
              </c:numCache>
            </c:numRef>
          </c:cat>
          <c:val>
            <c:numRef>
              <c:f>Sheet1!$D$136:$D$290</c:f>
              <c:numCache>
                <c:formatCode>0.0%</c:formatCode>
                <c:ptCount val="155"/>
                <c:pt idx="0">
                  <c:v>0.10417161402675545</c:v>
                </c:pt>
                <c:pt idx="1">
                  <c:v>7.9577029947514699E-2</c:v>
                </c:pt>
                <c:pt idx="2">
                  <c:v>7.0812715549557703E-2</c:v>
                </c:pt>
                <c:pt idx="3">
                  <c:v>9.6075480010279213E-2</c:v>
                </c:pt>
                <c:pt idx="4">
                  <c:v>0.11986522331349914</c:v>
                </c:pt>
                <c:pt idx="5">
                  <c:v>0.13051404875956241</c:v>
                </c:pt>
                <c:pt idx="6">
                  <c:v>0.14146683003675831</c:v>
                </c:pt>
                <c:pt idx="7">
                  <c:v>9.8874598070739728E-2</c:v>
                </c:pt>
                <c:pt idx="8">
                  <c:v>4.8044299340631369E-2</c:v>
                </c:pt>
                <c:pt idx="9">
                  <c:v>5.3596837944664077E-2</c:v>
                </c:pt>
                <c:pt idx="10">
                  <c:v>3.2417346500644095E-2</c:v>
                </c:pt>
                <c:pt idx="11">
                  <c:v>3.7125091441111868E-2</c:v>
                </c:pt>
                <c:pt idx="12">
                  <c:v>6.080689002229489E-2</c:v>
                </c:pt>
                <c:pt idx="13">
                  <c:v>7.4069627851140574E-2</c:v>
                </c:pt>
                <c:pt idx="14">
                  <c:v>9.5921337967501241E-2</c:v>
                </c:pt>
                <c:pt idx="15">
                  <c:v>0.11523540821724554</c:v>
                </c:pt>
                <c:pt idx="16">
                  <c:v>0.12515114873035071</c:v>
                </c:pt>
                <c:pt idx="17">
                  <c:v>0.12037554487537716</c:v>
                </c:pt>
                <c:pt idx="18">
                  <c:v>0.10709638946112987</c:v>
                </c:pt>
                <c:pt idx="19">
                  <c:v>9.3261654412733597E-2</c:v>
                </c:pt>
                <c:pt idx="20">
                  <c:v>8.2418566566873963E-2</c:v>
                </c:pt>
                <c:pt idx="21">
                  <c:v>7.1154229848363837E-2</c:v>
                </c:pt>
                <c:pt idx="22">
                  <c:v>7.4064099111230908E-2</c:v>
                </c:pt>
                <c:pt idx="23">
                  <c:v>7.1228848286168711E-2</c:v>
                </c:pt>
                <c:pt idx="24">
                  <c:v>6.5647014325563857E-2</c:v>
                </c:pt>
                <c:pt idx="25">
                  <c:v>5.8301706675359277E-2</c:v>
                </c:pt>
                <c:pt idx="26">
                  <c:v>5.0355612291419716E-2</c:v>
                </c:pt>
                <c:pt idx="27">
                  <c:v>4.8041223194797533E-2</c:v>
                </c:pt>
                <c:pt idx="28">
                  <c:v>4.7538765278732908E-2</c:v>
                </c:pt>
                <c:pt idx="29">
                  <c:v>5.7399951598354315E-2</c:v>
                </c:pt>
                <c:pt idx="30">
                  <c:v>6.0095058272022994E-2</c:v>
                </c:pt>
                <c:pt idx="31">
                  <c:v>7.5231879079354025E-2</c:v>
                </c:pt>
                <c:pt idx="32">
                  <c:v>7.4372114692304425E-2</c:v>
                </c:pt>
                <c:pt idx="33">
                  <c:v>7.9855187050060339E-2</c:v>
                </c:pt>
                <c:pt idx="34">
                  <c:v>8.1521516603201949E-2</c:v>
                </c:pt>
                <c:pt idx="35">
                  <c:v>7.8174920127795477E-2</c:v>
                </c:pt>
                <c:pt idx="36">
                  <c:v>8.6312926242756438E-2</c:v>
                </c:pt>
                <c:pt idx="37">
                  <c:v>8.1406551059730159E-2</c:v>
                </c:pt>
                <c:pt idx="38">
                  <c:v>7.810252139017182E-2</c:v>
                </c:pt>
                <c:pt idx="39">
                  <c:v>6.4394851375127349E-2</c:v>
                </c:pt>
                <c:pt idx="40">
                  <c:v>6.5574365394734491E-2</c:v>
                </c:pt>
                <c:pt idx="41">
                  <c:v>6.191536748329618E-2</c:v>
                </c:pt>
                <c:pt idx="42">
                  <c:v>5.6133019629876824E-2</c:v>
                </c:pt>
                <c:pt idx="43">
                  <c:v>4.4804426503340711E-2</c:v>
                </c:pt>
                <c:pt idx="44">
                  <c:v>2.7670407138113751E-2</c:v>
                </c:pt>
                <c:pt idx="45">
                  <c:v>2.8003355704697919E-2</c:v>
                </c:pt>
                <c:pt idx="46">
                  <c:v>3.1720170903226652E-2</c:v>
                </c:pt>
                <c:pt idx="47">
                  <c:v>4.3266108215231469E-2</c:v>
                </c:pt>
                <c:pt idx="48">
                  <c:v>5.4331256627783819E-2</c:v>
                </c:pt>
                <c:pt idx="49">
                  <c:v>5.6129527167082971E-2</c:v>
                </c:pt>
                <c:pt idx="50">
                  <c:v>5.8122109605375671E-2</c:v>
                </c:pt>
                <c:pt idx="51">
                  <c:v>6.6453827121079057E-2</c:v>
                </c:pt>
                <c:pt idx="52">
                  <c:v>5.7581996196822249E-2</c:v>
                </c:pt>
                <c:pt idx="53">
                  <c:v>5.2250108178277799E-2</c:v>
                </c:pt>
                <c:pt idx="54">
                  <c:v>4.804617305759451E-2</c:v>
                </c:pt>
                <c:pt idx="55">
                  <c:v>4.982936175308339E-2</c:v>
                </c:pt>
                <c:pt idx="56">
                  <c:v>5.7389107660301697E-2</c:v>
                </c:pt>
                <c:pt idx="57">
                  <c:v>6.4327571267018158E-2</c:v>
                </c:pt>
                <c:pt idx="58">
                  <c:v>6.5241714011711638E-2</c:v>
                </c:pt>
                <c:pt idx="59">
                  <c:v>6.2962487702639125E-2</c:v>
                </c:pt>
                <c:pt idx="60">
                  <c:v>5.7141251036440632E-2</c:v>
                </c:pt>
                <c:pt idx="61">
                  <c:v>4.610247140156476E-2</c:v>
                </c:pt>
                <c:pt idx="62">
                  <c:v>4.8014622635075277E-2</c:v>
                </c:pt>
                <c:pt idx="63">
                  <c:v>4.256032621088357E-2</c:v>
                </c:pt>
                <c:pt idx="64">
                  <c:v>4.6023157810775928E-2</c:v>
                </c:pt>
                <c:pt idx="65">
                  <c:v>5.9596359319350922E-2</c:v>
                </c:pt>
                <c:pt idx="66">
                  <c:v>5.834884356574821E-2</c:v>
                </c:pt>
                <c:pt idx="67">
                  <c:v>6.26817281218639E-2</c:v>
                </c:pt>
                <c:pt idx="68">
                  <c:v>6.2807396581305186E-2</c:v>
                </c:pt>
                <c:pt idx="69">
                  <c:v>6.0501942037645584E-2</c:v>
                </c:pt>
                <c:pt idx="70">
                  <c:v>6.5351599970484786E-2</c:v>
                </c:pt>
                <c:pt idx="71">
                  <c:v>6.1272670040436905E-2</c:v>
                </c:pt>
                <c:pt idx="72">
                  <c:v>6.0243701196981636E-2</c:v>
                </c:pt>
                <c:pt idx="73">
                  <c:v>5.2929990139456429E-2</c:v>
                </c:pt>
                <c:pt idx="74">
                  <c:v>5.2904372720136816E-2</c:v>
                </c:pt>
                <c:pt idx="75">
                  <c:v>6.0244812283964055E-2</c:v>
                </c:pt>
                <c:pt idx="76">
                  <c:v>6.2121468448655071E-2</c:v>
                </c:pt>
                <c:pt idx="77">
                  <c:v>6.1819235871879874E-2</c:v>
                </c:pt>
                <c:pt idx="78">
                  <c:v>6.148381225948607E-2</c:v>
                </c:pt>
                <c:pt idx="79">
                  <c:v>6.5138799225306521E-2</c:v>
                </c:pt>
                <c:pt idx="80">
                  <c:v>6.2183428371189287E-2</c:v>
                </c:pt>
                <c:pt idx="81">
                  <c:v>7.5964385460196127E-2</c:v>
                </c:pt>
                <c:pt idx="82">
                  <c:v>6.5885828194879092E-2</c:v>
                </c:pt>
                <c:pt idx="83">
                  <c:v>5.4508354041659102E-2</c:v>
                </c:pt>
                <c:pt idx="84">
                  <c:v>4.6986373951554139E-2</c:v>
                </c:pt>
                <c:pt idx="85">
                  <c:v>3.4163763576216866E-2</c:v>
                </c:pt>
                <c:pt idx="86">
                  <c:v>2.6793154906102901E-2</c:v>
                </c:pt>
                <c:pt idx="87">
                  <c:v>2.119934859660888E-2</c:v>
                </c:pt>
                <c:pt idx="88">
                  <c:v>3.018266191790242E-2</c:v>
                </c:pt>
                <c:pt idx="89">
                  <c:v>2.7873709637849409E-2</c:v>
                </c:pt>
                <c:pt idx="90">
                  <c:v>3.7352660834442331E-2</c:v>
                </c:pt>
                <c:pt idx="91">
                  <c:v>3.8573023273266394E-2</c:v>
                </c:pt>
                <c:pt idx="92">
                  <c:v>3.6565019927704112E-2</c:v>
                </c:pt>
                <c:pt idx="93">
                  <c:v>3.8528623361362868E-2</c:v>
                </c:pt>
                <c:pt idx="94">
                  <c:v>5.2328490461331256E-2</c:v>
                </c:pt>
                <c:pt idx="95">
                  <c:v>6.3026690150385978E-2</c:v>
                </c:pt>
                <c:pt idx="96">
                  <c:v>6.5873831984620157E-2</c:v>
                </c:pt>
                <c:pt idx="97">
                  <c:v>7.0370992406898258E-2</c:v>
                </c:pt>
                <c:pt idx="98">
                  <c:v>6.3627639985130546E-2</c:v>
                </c:pt>
                <c:pt idx="99">
                  <c:v>6.3988512485874338E-2</c:v>
                </c:pt>
                <c:pt idx="100">
                  <c:v>7.0560896629251024E-2</c:v>
                </c:pt>
                <c:pt idx="101">
                  <c:v>6.6149145263853404E-2</c:v>
                </c:pt>
                <c:pt idx="102">
                  <c:v>6.824185381157899E-2</c:v>
                </c:pt>
                <c:pt idx="103">
                  <c:v>6.4676100428032957E-2</c:v>
                </c:pt>
                <c:pt idx="104">
                  <c:v>6.6027755792905207E-2</c:v>
                </c:pt>
                <c:pt idx="105">
                  <c:v>6.5050348567002203E-2</c:v>
                </c:pt>
                <c:pt idx="106">
                  <c:v>5.5132428915992682E-2</c:v>
                </c:pt>
                <c:pt idx="107">
                  <c:v>5.2871597548810101E-2</c:v>
                </c:pt>
                <c:pt idx="108">
                  <c:v>4.4450488462867366E-2</c:v>
                </c:pt>
                <c:pt idx="109">
                  <c:v>4.6007941933700947E-2</c:v>
                </c:pt>
                <c:pt idx="110">
                  <c:v>4.8134126554894463E-2</c:v>
                </c:pt>
                <c:pt idx="111">
                  <c:v>4.589946713019688E-2</c:v>
                </c:pt>
                <c:pt idx="112">
                  <c:v>3.1136072519460045E-2</c:v>
                </c:pt>
                <c:pt idx="113">
                  <c:v>2.9424852597619289E-2</c:v>
                </c:pt>
                <c:pt idx="114">
                  <c:v>2.0653594771241846E-2</c:v>
                </c:pt>
                <c:pt idx="115">
                  <c:v>-8.3097776112794897E-3</c:v>
                </c:pt>
                <c:pt idx="116">
                  <c:v>-1.750733738311383E-2</c:v>
                </c:pt>
                <c:pt idx="117">
                  <c:v>-3.0576268438969101E-2</c:v>
                </c:pt>
                <c:pt idx="118">
                  <c:v>-2.7967267040552302E-2</c:v>
                </c:pt>
                <c:pt idx="119">
                  <c:v>4.7048318966997904E-3</c:v>
                </c:pt>
                <c:pt idx="120">
                  <c:v>2.2710062871235559E-2</c:v>
                </c:pt>
                <c:pt idx="121">
                  <c:v>3.9936180144779065E-2</c:v>
                </c:pt>
                <c:pt idx="122">
                  <c:v>4.5741073347988603E-2</c:v>
                </c:pt>
                <c:pt idx="123">
                  <c:v>4.1892261416461629E-2</c:v>
                </c:pt>
                <c:pt idx="124">
                  <c:v>3.8338744956322168E-2</c:v>
                </c:pt>
                <c:pt idx="125">
                  <c:v>3.8194839911296352E-2</c:v>
                </c:pt>
                <c:pt idx="126">
                  <c:v>3.3952479790980039E-2</c:v>
                </c:pt>
                <c:pt idx="127">
                  <c:v>3.6461340612041315E-2</c:v>
                </c:pt>
                <c:pt idx="128">
                  <c:v>4.8018422326603805E-2</c:v>
                </c:pt>
                <c:pt idx="129">
                  <c:v>4.2339412243001417E-2</c:v>
                </c:pt>
                <c:pt idx="130">
                  <c:v>4.2669591262129769E-2</c:v>
                </c:pt>
                <c:pt idx="131">
                  <c:v>3.5602823410249007E-2</c:v>
                </c:pt>
                <c:pt idx="132">
                  <c:v>3.4320028964156757E-2</c:v>
                </c:pt>
                <c:pt idx="133">
                  <c:v>3.0063829918959062E-2</c:v>
                </c:pt>
                <c:pt idx="134">
                  <c:v>3.638387914277974E-2</c:v>
                </c:pt>
                <c:pt idx="135">
                  <c:v>4.4269480221775126E-2</c:v>
                </c:pt>
                <c:pt idx="136">
                  <c:v>3.2185448049440124E-2</c:v>
                </c:pt>
                <c:pt idx="137">
                  <c:v>4.735573600033649E-2</c:v>
                </c:pt>
                <c:pt idx="138">
                  <c:v>5.1701318202591162E-2</c:v>
                </c:pt>
                <c:pt idx="139">
                  <c:v>4.4219140554115022E-2</c:v>
                </c:pt>
                <c:pt idx="140">
                  <c:v>5.0722392108940584E-2</c:v>
                </c:pt>
                <c:pt idx="141">
                  <c:v>4.565070183291442E-2</c:v>
                </c:pt>
                <c:pt idx="142">
                  <c:v>3.4498132033092821E-2</c:v>
                </c:pt>
                <c:pt idx="143">
                  <c:v>2.8920593099195591E-2</c:v>
                </c:pt>
                <c:pt idx="144">
                  <c:v>2.4412367003516788E-2</c:v>
                </c:pt>
                <c:pt idx="145">
                  <c:v>2.3017018544231327E-2</c:v>
                </c:pt>
                <c:pt idx="146">
                  <c:v>2.5557658842077169E-2</c:v>
                </c:pt>
                <c:pt idx="147">
                  <c:v>3.4040883929738808E-2</c:v>
                </c:pt>
                <c:pt idx="148">
                  <c:v>4.0930843984768428E-2</c:v>
                </c:pt>
                <c:pt idx="149">
                  <c:v>3.8539325239931754E-2</c:v>
                </c:pt>
                <c:pt idx="150">
                  <c:v>4.1942381752803293E-2</c:v>
                </c:pt>
                <c:pt idx="151">
                  <c:v>4.4922862923621576E-2</c:v>
                </c:pt>
                <c:pt idx="152">
                  <c:v>4.5839291119159187E-2</c:v>
                </c:pt>
                <c:pt idx="153">
                  <c:v>5.4382693410334415E-2</c:v>
                </c:pt>
                <c:pt idx="154">
                  <c:v>5.4737315002476139E-2</c:v>
                </c:pt>
              </c:numCache>
            </c:numRef>
          </c:val>
          <c:smooth val="0"/>
          <c:extLst>
            <c:ext xmlns:c16="http://schemas.microsoft.com/office/drawing/2014/chart" uri="{C3380CC4-5D6E-409C-BE32-E72D297353CC}">
              <c16:uniqueId val="{00000000-B4F6-1640-94D7-7B6318875154}"/>
            </c:ext>
          </c:extLst>
        </c:ser>
        <c:ser>
          <c:idx val="1"/>
          <c:order val="1"/>
          <c:tx>
            <c:v>M2增速</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Sheet1!$A$136:$A$290</c:f>
              <c:numCache>
                <c:formatCode>yyyy\-mm;@</c:formatCode>
                <c:ptCount val="155"/>
                <c:pt idx="0">
                  <c:v>29311</c:v>
                </c:pt>
                <c:pt idx="1">
                  <c:v>29402</c:v>
                </c:pt>
                <c:pt idx="2">
                  <c:v>29494</c:v>
                </c:pt>
                <c:pt idx="3">
                  <c:v>29586</c:v>
                </c:pt>
                <c:pt idx="4">
                  <c:v>29676</c:v>
                </c:pt>
                <c:pt idx="5">
                  <c:v>29767</c:v>
                </c:pt>
                <c:pt idx="6">
                  <c:v>29859</c:v>
                </c:pt>
                <c:pt idx="7">
                  <c:v>29951</c:v>
                </c:pt>
                <c:pt idx="8">
                  <c:v>30041</c:v>
                </c:pt>
                <c:pt idx="9">
                  <c:v>30132</c:v>
                </c:pt>
                <c:pt idx="10">
                  <c:v>30224</c:v>
                </c:pt>
                <c:pt idx="11">
                  <c:v>30316</c:v>
                </c:pt>
                <c:pt idx="12">
                  <c:v>30406</c:v>
                </c:pt>
                <c:pt idx="13">
                  <c:v>30497</c:v>
                </c:pt>
                <c:pt idx="14">
                  <c:v>30589</c:v>
                </c:pt>
                <c:pt idx="15">
                  <c:v>30681</c:v>
                </c:pt>
                <c:pt idx="16">
                  <c:v>30772</c:v>
                </c:pt>
                <c:pt idx="17">
                  <c:v>30863</c:v>
                </c:pt>
                <c:pt idx="18">
                  <c:v>30955</c:v>
                </c:pt>
                <c:pt idx="19">
                  <c:v>31047</c:v>
                </c:pt>
                <c:pt idx="20">
                  <c:v>31137</c:v>
                </c:pt>
                <c:pt idx="21">
                  <c:v>31228</c:v>
                </c:pt>
                <c:pt idx="22">
                  <c:v>31320</c:v>
                </c:pt>
                <c:pt idx="23">
                  <c:v>31412</c:v>
                </c:pt>
                <c:pt idx="24">
                  <c:v>31502</c:v>
                </c:pt>
                <c:pt idx="25">
                  <c:v>31593</c:v>
                </c:pt>
                <c:pt idx="26">
                  <c:v>31685</c:v>
                </c:pt>
                <c:pt idx="27">
                  <c:v>31777</c:v>
                </c:pt>
                <c:pt idx="28">
                  <c:v>31867</c:v>
                </c:pt>
                <c:pt idx="29">
                  <c:v>31958</c:v>
                </c:pt>
                <c:pt idx="30">
                  <c:v>32050</c:v>
                </c:pt>
                <c:pt idx="31">
                  <c:v>32142</c:v>
                </c:pt>
                <c:pt idx="32">
                  <c:v>32233</c:v>
                </c:pt>
                <c:pt idx="33">
                  <c:v>32324</c:v>
                </c:pt>
                <c:pt idx="34">
                  <c:v>32416</c:v>
                </c:pt>
                <c:pt idx="35">
                  <c:v>32508</c:v>
                </c:pt>
                <c:pt idx="36">
                  <c:v>32598</c:v>
                </c:pt>
                <c:pt idx="37">
                  <c:v>32689</c:v>
                </c:pt>
                <c:pt idx="38">
                  <c:v>32781</c:v>
                </c:pt>
                <c:pt idx="39">
                  <c:v>32873</c:v>
                </c:pt>
                <c:pt idx="40">
                  <c:v>32963</c:v>
                </c:pt>
                <c:pt idx="41">
                  <c:v>33054</c:v>
                </c:pt>
                <c:pt idx="42">
                  <c:v>33146</c:v>
                </c:pt>
                <c:pt idx="43">
                  <c:v>33238</c:v>
                </c:pt>
                <c:pt idx="44">
                  <c:v>33328</c:v>
                </c:pt>
                <c:pt idx="45">
                  <c:v>33419</c:v>
                </c:pt>
                <c:pt idx="46">
                  <c:v>33511</c:v>
                </c:pt>
                <c:pt idx="47">
                  <c:v>33603</c:v>
                </c:pt>
                <c:pt idx="48">
                  <c:v>33694</c:v>
                </c:pt>
                <c:pt idx="49">
                  <c:v>33785</c:v>
                </c:pt>
                <c:pt idx="50">
                  <c:v>33877</c:v>
                </c:pt>
                <c:pt idx="51">
                  <c:v>33969</c:v>
                </c:pt>
                <c:pt idx="52">
                  <c:v>34059</c:v>
                </c:pt>
                <c:pt idx="53">
                  <c:v>34150</c:v>
                </c:pt>
                <c:pt idx="54">
                  <c:v>34242</c:v>
                </c:pt>
                <c:pt idx="55">
                  <c:v>34334</c:v>
                </c:pt>
                <c:pt idx="56">
                  <c:v>34424</c:v>
                </c:pt>
                <c:pt idx="57">
                  <c:v>34515</c:v>
                </c:pt>
                <c:pt idx="58">
                  <c:v>34607</c:v>
                </c:pt>
                <c:pt idx="59">
                  <c:v>34699</c:v>
                </c:pt>
                <c:pt idx="60">
                  <c:v>34789</c:v>
                </c:pt>
                <c:pt idx="61">
                  <c:v>34880</c:v>
                </c:pt>
                <c:pt idx="62">
                  <c:v>34972</c:v>
                </c:pt>
                <c:pt idx="63">
                  <c:v>35064</c:v>
                </c:pt>
                <c:pt idx="64">
                  <c:v>35155</c:v>
                </c:pt>
                <c:pt idx="65">
                  <c:v>35246</c:v>
                </c:pt>
                <c:pt idx="66">
                  <c:v>35338</c:v>
                </c:pt>
                <c:pt idx="67">
                  <c:v>35430</c:v>
                </c:pt>
                <c:pt idx="68">
                  <c:v>35520</c:v>
                </c:pt>
                <c:pt idx="69">
                  <c:v>35611</c:v>
                </c:pt>
                <c:pt idx="70">
                  <c:v>35703</c:v>
                </c:pt>
                <c:pt idx="71">
                  <c:v>35795</c:v>
                </c:pt>
                <c:pt idx="72">
                  <c:v>35885</c:v>
                </c:pt>
                <c:pt idx="73">
                  <c:v>35976</c:v>
                </c:pt>
                <c:pt idx="74">
                  <c:v>36068</c:v>
                </c:pt>
                <c:pt idx="75">
                  <c:v>36160</c:v>
                </c:pt>
                <c:pt idx="76">
                  <c:v>36250</c:v>
                </c:pt>
                <c:pt idx="77">
                  <c:v>36341</c:v>
                </c:pt>
                <c:pt idx="78">
                  <c:v>36433</c:v>
                </c:pt>
                <c:pt idx="79">
                  <c:v>36525</c:v>
                </c:pt>
                <c:pt idx="80">
                  <c:v>36616</c:v>
                </c:pt>
                <c:pt idx="81">
                  <c:v>36707</c:v>
                </c:pt>
                <c:pt idx="82">
                  <c:v>36799</c:v>
                </c:pt>
                <c:pt idx="83">
                  <c:v>36891</c:v>
                </c:pt>
                <c:pt idx="84">
                  <c:v>36981</c:v>
                </c:pt>
                <c:pt idx="85">
                  <c:v>37072</c:v>
                </c:pt>
                <c:pt idx="86">
                  <c:v>37164</c:v>
                </c:pt>
                <c:pt idx="87">
                  <c:v>37256</c:v>
                </c:pt>
                <c:pt idx="88">
                  <c:v>37346</c:v>
                </c:pt>
                <c:pt idx="89">
                  <c:v>37437</c:v>
                </c:pt>
                <c:pt idx="90">
                  <c:v>37529</c:v>
                </c:pt>
                <c:pt idx="91">
                  <c:v>37621</c:v>
                </c:pt>
                <c:pt idx="92">
                  <c:v>37711</c:v>
                </c:pt>
                <c:pt idx="93">
                  <c:v>37802</c:v>
                </c:pt>
                <c:pt idx="94">
                  <c:v>37894</c:v>
                </c:pt>
                <c:pt idx="95">
                  <c:v>37986</c:v>
                </c:pt>
                <c:pt idx="96">
                  <c:v>38077</c:v>
                </c:pt>
                <c:pt idx="97">
                  <c:v>38168</c:v>
                </c:pt>
                <c:pt idx="98">
                  <c:v>38260</c:v>
                </c:pt>
                <c:pt idx="99">
                  <c:v>38352</c:v>
                </c:pt>
                <c:pt idx="100">
                  <c:v>38442</c:v>
                </c:pt>
                <c:pt idx="101">
                  <c:v>38533</c:v>
                </c:pt>
                <c:pt idx="102">
                  <c:v>38625</c:v>
                </c:pt>
                <c:pt idx="103">
                  <c:v>38717</c:v>
                </c:pt>
                <c:pt idx="104">
                  <c:v>38807</c:v>
                </c:pt>
                <c:pt idx="105">
                  <c:v>38898</c:v>
                </c:pt>
                <c:pt idx="106">
                  <c:v>38990</c:v>
                </c:pt>
                <c:pt idx="107">
                  <c:v>39082</c:v>
                </c:pt>
                <c:pt idx="108">
                  <c:v>39172</c:v>
                </c:pt>
                <c:pt idx="109">
                  <c:v>39263</c:v>
                </c:pt>
                <c:pt idx="110">
                  <c:v>39355</c:v>
                </c:pt>
                <c:pt idx="111">
                  <c:v>39447</c:v>
                </c:pt>
                <c:pt idx="112">
                  <c:v>39538</c:v>
                </c:pt>
                <c:pt idx="113">
                  <c:v>39629</c:v>
                </c:pt>
                <c:pt idx="114">
                  <c:v>39721</c:v>
                </c:pt>
                <c:pt idx="115">
                  <c:v>39813</c:v>
                </c:pt>
                <c:pt idx="116">
                  <c:v>39903</c:v>
                </c:pt>
                <c:pt idx="117">
                  <c:v>39994</c:v>
                </c:pt>
                <c:pt idx="118">
                  <c:v>40086</c:v>
                </c:pt>
                <c:pt idx="119">
                  <c:v>40178</c:v>
                </c:pt>
                <c:pt idx="120">
                  <c:v>40268</c:v>
                </c:pt>
                <c:pt idx="121">
                  <c:v>40359</c:v>
                </c:pt>
                <c:pt idx="122">
                  <c:v>40451</c:v>
                </c:pt>
                <c:pt idx="123">
                  <c:v>40543</c:v>
                </c:pt>
                <c:pt idx="124">
                  <c:v>40633</c:v>
                </c:pt>
                <c:pt idx="125">
                  <c:v>40724</c:v>
                </c:pt>
                <c:pt idx="126">
                  <c:v>40816</c:v>
                </c:pt>
                <c:pt idx="127">
                  <c:v>40908</c:v>
                </c:pt>
                <c:pt idx="128">
                  <c:v>40999</c:v>
                </c:pt>
                <c:pt idx="129">
                  <c:v>41090</c:v>
                </c:pt>
                <c:pt idx="130">
                  <c:v>41182</c:v>
                </c:pt>
                <c:pt idx="131">
                  <c:v>41274</c:v>
                </c:pt>
                <c:pt idx="132">
                  <c:v>41364</c:v>
                </c:pt>
                <c:pt idx="133">
                  <c:v>41455</c:v>
                </c:pt>
                <c:pt idx="134">
                  <c:v>41547</c:v>
                </c:pt>
                <c:pt idx="135">
                  <c:v>41639</c:v>
                </c:pt>
                <c:pt idx="136">
                  <c:v>41729</c:v>
                </c:pt>
                <c:pt idx="137">
                  <c:v>41820</c:v>
                </c:pt>
                <c:pt idx="138">
                  <c:v>41912</c:v>
                </c:pt>
                <c:pt idx="139">
                  <c:v>42004</c:v>
                </c:pt>
                <c:pt idx="140">
                  <c:v>42094</c:v>
                </c:pt>
                <c:pt idx="141">
                  <c:v>42185</c:v>
                </c:pt>
                <c:pt idx="142">
                  <c:v>42277</c:v>
                </c:pt>
                <c:pt idx="143">
                  <c:v>42369</c:v>
                </c:pt>
                <c:pt idx="144">
                  <c:v>42460</c:v>
                </c:pt>
                <c:pt idx="145">
                  <c:v>42551</c:v>
                </c:pt>
                <c:pt idx="146">
                  <c:v>42643</c:v>
                </c:pt>
                <c:pt idx="147">
                  <c:v>42735</c:v>
                </c:pt>
                <c:pt idx="148">
                  <c:v>42825</c:v>
                </c:pt>
                <c:pt idx="149">
                  <c:v>42916</c:v>
                </c:pt>
                <c:pt idx="150">
                  <c:v>43008</c:v>
                </c:pt>
                <c:pt idx="151">
                  <c:v>43100</c:v>
                </c:pt>
                <c:pt idx="152">
                  <c:v>43190</c:v>
                </c:pt>
                <c:pt idx="153">
                  <c:v>43281</c:v>
                </c:pt>
                <c:pt idx="154">
                  <c:v>43373</c:v>
                </c:pt>
              </c:numCache>
            </c:numRef>
          </c:cat>
          <c:val>
            <c:numRef>
              <c:f>Sheet1!$E$136:$E$290</c:f>
              <c:numCache>
                <c:formatCode>0.0%</c:formatCode>
                <c:ptCount val="155"/>
                <c:pt idx="0">
                  <c:v>8.0703271364749973E-2</c:v>
                </c:pt>
                <c:pt idx="1">
                  <c:v>7.463106113843998E-2</c:v>
                </c:pt>
                <c:pt idx="2">
                  <c:v>8.2456502303830614E-2</c:v>
                </c:pt>
                <c:pt idx="3">
                  <c:v>8.556694035421053E-2</c:v>
                </c:pt>
                <c:pt idx="4">
                  <c:v>9.1212161621549548E-2</c:v>
                </c:pt>
                <c:pt idx="5">
                  <c:v>9.2270468218676349E-2</c:v>
                </c:pt>
                <c:pt idx="6">
                  <c:v>8.3862770012706589E-2</c:v>
                </c:pt>
                <c:pt idx="7">
                  <c:v>9.7324665583197856E-2</c:v>
                </c:pt>
                <c:pt idx="8">
                  <c:v>9.1592325552975806E-2</c:v>
                </c:pt>
                <c:pt idx="9">
                  <c:v>9.3216787403460399E-2</c:v>
                </c:pt>
                <c:pt idx="10">
                  <c:v>8.9331770222743412E-2</c:v>
                </c:pt>
                <c:pt idx="11">
                  <c:v>8.5673597265736312E-2</c:v>
                </c:pt>
                <c:pt idx="12">
                  <c:v>0.12801567310383444</c:v>
                </c:pt>
                <c:pt idx="13">
                  <c:v>0.12458926615553123</c:v>
                </c:pt>
                <c:pt idx="14">
                  <c:v>0.12096427034007728</c:v>
                </c:pt>
                <c:pt idx="15">
                  <c:v>0.11417178236003989</c:v>
                </c:pt>
                <c:pt idx="16">
                  <c:v>7.939658594680421E-2</c:v>
                </c:pt>
                <c:pt idx="17">
                  <c:v>7.8694911127343614E-2</c:v>
                </c:pt>
                <c:pt idx="18">
                  <c:v>7.738095238095255E-2</c:v>
                </c:pt>
                <c:pt idx="19">
                  <c:v>8.613138686131383E-2</c:v>
                </c:pt>
                <c:pt idx="20">
                  <c:v>8.7808017653549175E-2</c:v>
                </c:pt>
                <c:pt idx="21">
                  <c:v>8.9160760236558279E-2</c:v>
                </c:pt>
                <c:pt idx="22">
                  <c:v>9.4457315986455237E-2</c:v>
                </c:pt>
                <c:pt idx="23">
                  <c:v>8.0515088449531591E-2</c:v>
                </c:pt>
                <c:pt idx="24">
                  <c:v>7.053503507733927E-2</c:v>
                </c:pt>
                <c:pt idx="25">
                  <c:v>7.9747989720633461E-2</c:v>
                </c:pt>
                <c:pt idx="26">
                  <c:v>8.6060902133203054E-2</c:v>
                </c:pt>
                <c:pt idx="27">
                  <c:v>9.4659122828137043E-2</c:v>
                </c:pt>
                <c:pt idx="28">
                  <c:v>8.7086968536575604E-2</c:v>
                </c:pt>
                <c:pt idx="29">
                  <c:v>6.5105566218810029E-2</c:v>
                </c:pt>
                <c:pt idx="30">
                  <c:v>4.9366519229327555E-2</c:v>
                </c:pt>
                <c:pt idx="31">
                  <c:v>3.6070381231671611E-2</c:v>
                </c:pt>
                <c:pt idx="32">
                  <c:v>4.9751243781094523E-2</c:v>
                </c:pt>
                <c:pt idx="33">
                  <c:v>5.903553665393213E-2</c:v>
                </c:pt>
                <c:pt idx="34">
                  <c:v>5.6581532416502878E-2</c:v>
                </c:pt>
                <c:pt idx="35">
                  <c:v>5.7635154259835897E-2</c:v>
                </c:pt>
                <c:pt idx="36">
                  <c:v>3.8122254125298571E-2</c:v>
                </c:pt>
                <c:pt idx="37">
                  <c:v>3.0935202831472886E-2</c:v>
                </c:pt>
                <c:pt idx="38">
                  <c:v>4.6046181412488618E-2</c:v>
                </c:pt>
                <c:pt idx="39">
                  <c:v>5.5096510888836825E-2</c:v>
                </c:pt>
                <c:pt idx="40">
                  <c:v>6.34476323769535E-2</c:v>
                </c:pt>
                <c:pt idx="41">
                  <c:v>6.1235268873997217E-2</c:v>
                </c:pt>
                <c:pt idx="42">
                  <c:v>5.2196115186968761E-2</c:v>
                </c:pt>
                <c:pt idx="43">
                  <c:v>3.7634749524413369E-2</c:v>
                </c:pt>
                <c:pt idx="44">
                  <c:v>4.1111772631842847E-2</c:v>
                </c:pt>
                <c:pt idx="45">
                  <c:v>4.2770934428269181E-2</c:v>
                </c:pt>
                <c:pt idx="46">
                  <c:v>3.0501290084776977E-2</c:v>
                </c:pt>
                <c:pt idx="47">
                  <c:v>3.0403031136370551E-2</c:v>
                </c:pt>
                <c:pt idx="48">
                  <c:v>2.4379232505643333E-2</c:v>
                </c:pt>
                <c:pt idx="49">
                  <c:v>1.2140918175580939E-2</c:v>
                </c:pt>
                <c:pt idx="50">
                  <c:v>1.6304509821455149E-2</c:v>
                </c:pt>
                <c:pt idx="51">
                  <c:v>1.5390546230947155E-2</c:v>
                </c:pt>
                <c:pt idx="52">
                  <c:v>2.1742324078155573E-3</c:v>
                </c:pt>
                <c:pt idx="53">
                  <c:v>1.4323607427055629E-2</c:v>
                </c:pt>
                <c:pt idx="54">
                  <c:v>1.225950258094799E-2</c:v>
                </c:pt>
                <c:pt idx="55">
                  <c:v>1.4456353494348928E-2</c:v>
                </c:pt>
                <c:pt idx="56">
                  <c:v>1.9965405025066607E-2</c:v>
                </c:pt>
                <c:pt idx="57">
                  <c:v>1.0547419804741942E-2</c:v>
                </c:pt>
                <c:pt idx="58">
                  <c:v>9.4454424291592343E-3</c:v>
                </c:pt>
                <c:pt idx="59">
                  <c:v>2.9364348226623704E-3</c:v>
                </c:pt>
                <c:pt idx="60">
                  <c:v>2.5582063811440126E-3</c:v>
                </c:pt>
                <c:pt idx="61">
                  <c:v>1.9494522556715133E-2</c:v>
                </c:pt>
                <c:pt idx="62">
                  <c:v>3.2893226176808232E-2</c:v>
                </c:pt>
                <c:pt idx="63">
                  <c:v>4.0932315287903975E-2</c:v>
                </c:pt>
                <c:pt idx="64">
                  <c:v>5.6165601078012495E-2</c:v>
                </c:pt>
                <c:pt idx="65">
                  <c:v>4.8763290746538068E-2</c:v>
                </c:pt>
                <c:pt idx="66">
                  <c:v>4.1655088089812775E-2</c:v>
                </c:pt>
                <c:pt idx="67">
                  <c:v>4.9332671519964677E-2</c:v>
                </c:pt>
                <c:pt idx="68">
                  <c:v>4.4247787610619538E-2</c:v>
                </c:pt>
                <c:pt idx="69">
                  <c:v>4.6334642069596033E-2</c:v>
                </c:pt>
                <c:pt idx="70">
                  <c:v>5.5995731625983813E-2</c:v>
                </c:pt>
                <c:pt idx="71">
                  <c:v>5.589572438441115E-2</c:v>
                </c:pt>
                <c:pt idx="72">
                  <c:v>6.563897265259433E-2</c:v>
                </c:pt>
                <c:pt idx="73">
                  <c:v>7.1345961088694176E-2</c:v>
                </c:pt>
                <c:pt idx="74">
                  <c:v>7.3893492320129317E-2</c:v>
                </c:pt>
                <c:pt idx="75">
                  <c:v>8.47436535589845E-2</c:v>
                </c:pt>
                <c:pt idx="76">
                  <c:v>7.7086331812748599E-2</c:v>
                </c:pt>
                <c:pt idx="77">
                  <c:v>7.6838191195873762E-2</c:v>
                </c:pt>
                <c:pt idx="78">
                  <c:v>7.0079277329506917E-2</c:v>
                </c:pt>
                <c:pt idx="79">
                  <c:v>5.9768268899850874E-2</c:v>
                </c:pt>
                <c:pt idx="80">
                  <c:v>6.2555205761782862E-2</c:v>
                </c:pt>
                <c:pt idx="81">
                  <c:v>5.8657102120834193E-2</c:v>
                </c:pt>
                <c:pt idx="82">
                  <c:v>6.274182201899392E-2</c:v>
                </c:pt>
                <c:pt idx="83">
                  <c:v>6.1918164104784568E-2</c:v>
                </c:pt>
                <c:pt idx="84">
                  <c:v>7.6478738143450853E-2</c:v>
                </c:pt>
                <c:pt idx="85">
                  <c:v>8.3962879569032589E-2</c:v>
                </c:pt>
                <c:pt idx="86">
                  <c:v>0.10171279632617591</c:v>
                </c:pt>
                <c:pt idx="87">
                  <c:v>0.10262996941896008</c:v>
                </c:pt>
                <c:pt idx="88">
                  <c:v>8.3123774825258012E-2</c:v>
                </c:pt>
                <c:pt idx="89">
                  <c:v>7.1596358059443421E-2</c:v>
                </c:pt>
                <c:pt idx="90">
                  <c:v>5.6985673782834922E-2</c:v>
                </c:pt>
                <c:pt idx="91">
                  <c:v>6.2088602913985769E-2</c:v>
                </c:pt>
                <c:pt idx="92">
                  <c:v>6.6452167236430881E-2</c:v>
                </c:pt>
                <c:pt idx="93">
                  <c:v>8.1215239406511097E-2</c:v>
                </c:pt>
                <c:pt idx="94">
                  <c:v>7.379116779763395E-2</c:v>
                </c:pt>
                <c:pt idx="95">
                  <c:v>5.1042790989171749E-2</c:v>
                </c:pt>
                <c:pt idx="96">
                  <c:v>4.9197750959956155E-2</c:v>
                </c:pt>
                <c:pt idx="97">
                  <c:v>4.5424080962434221E-2</c:v>
                </c:pt>
                <c:pt idx="98">
                  <c:v>4.438525674960303E-2</c:v>
                </c:pt>
                <c:pt idx="99">
                  <c:v>5.7971974691092276E-2</c:v>
                </c:pt>
                <c:pt idx="100">
                  <c:v>4.7348299186354081E-2</c:v>
                </c:pt>
                <c:pt idx="101">
                  <c:v>3.7472152324780073E-2</c:v>
                </c:pt>
                <c:pt idx="102">
                  <c:v>4.0629801523815567E-2</c:v>
                </c:pt>
                <c:pt idx="103">
                  <c:v>4.1300059492125119E-2</c:v>
                </c:pt>
                <c:pt idx="104">
                  <c:v>4.9950081118182998E-2</c:v>
                </c:pt>
                <c:pt idx="105">
                  <c:v>5.2185197200722788E-2</c:v>
                </c:pt>
                <c:pt idx="106">
                  <c:v>5.1357769118363317E-2</c:v>
                </c:pt>
                <c:pt idx="107">
                  <c:v>5.8666105364445498E-2</c:v>
                </c:pt>
                <c:pt idx="108">
                  <c:v>5.849404213591658E-2</c:v>
                </c:pt>
                <c:pt idx="109">
                  <c:v>6.3545199606513059E-2</c:v>
                </c:pt>
                <c:pt idx="110">
                  <c:v>6.6280584913855467E-2</c:v>
                </c:pt>
                <c:pt idx="111">
                  <c:v>5.7204533189422646E-2</c:v>
                </c:pt>
                <c:pt idx="112">
                  <c:v>6.9915640834888881E-2</c:v>
                </c:pt>
                <c:pt idx="113">
                  <c:v>6.2150558416278923E-2</c:v>
                </c:pt>
                <c:pt idx="114">
                  <c:v>6.198403215294368E-2</c:v>
                </c:pt>
                <c:pt idx="115">
                  <c:v>9.7041992423631873E-2</c:v>
                </c:pt>
                <c:pt idx="116">
                  <c:v>9.3500734676742248E-2</c:v>
                </c:pt>
                <c:pt idx="117">
                  <c:v>9.2306892473258184E-2</c:v>
                </c:pt>
                <c:pt idx="118">
                  <c:v>7.4642322887499502E-2</c:v>
                </c:pt>
                <c:pt idx="119">
                  <c:v>3.727377366345852E-2</c:v>
                </c:pt>
                <c:pt idx="120">
                  <c:v>1.6304543436791441E-2</c:v>
                </c:pt>
                <c:pt idx="121">
                  <c:v>2.0061636582144438E-2</c:v>
                </c:pt>
                <c:pt idx="122">
                  <c:v>3.0636161378210902E-2</c:v>
                </c:pt>
                <c:pt idx="123">
                  <c:v>3.5910754338330797E-2</c:v>
                </c:pt>
                <c:pt idx="124">
                  <c:v>5.0123952307874031E-2</c:v>
                </c:pt>
                <c:pt idx="125">
                  <c:v>6.0657669112414991E-2</c:v>
                </c:pt>
                <c:pt idx="126">
                  <c:v>9.8815598088333845E-2</c:v>
                </c:pt>
                <c:pt idx="127">
                  <c:v>9.8117421825143492E-2</c:v>
                </c:pt>
                <c:pt idx="128">
                  <c:v>0.10359053914294702</c:v>
                </c:pt>
                <c:pt idx="129">
                  <c:v>9.6868916823385609E-2</c:v>
                </c:pt>
                <c:pt idx="130">
                  <c:v>7.1596663374866143E-2</c:v>
                </c:pt>
                <c:pt idx="131">
                  <c:v>8.4026898569975694E-2</c:v>
                </c:pt>
                <c:pt idx="132">
                  <c:v>7.3545140621976035E-2</c:v>
                </c:pt>
                <c:pt idx="133">
                  <c:v>6.9434000100265791E-2</c:v>
                </c:pt>
                <c:pt idx="134">
                  <c:v>6.2009195988274701E-2</c:v>
                </c:pt>
                <c:pt idx="135">
                  <c:v>5.4566863554121658E-2</c:v>
                </c:pt>
                <c:pt idx="136">
                  <c:v>6.1665607120152455E-2</c:v>
                </c:pt>
                <c:pt idx="137">
                  <c:v>6.579786236639773E-2</c:v>
                </c:pt>
                <c:pt idx="138">
                  <c:v>6.0899507043553625E-2</c:v>
                </c:pt>
                <c:pt idx="139">
                  <c:v>5.9468586316143046E-2</c:v>
                </c:pt>
                <c:pt idx="140">
                  <c:v>6.0595227455536582E-2</c:v>
                </c:pt>
                <c:pt idx="141">
                  <c:v>5.5322929678566002E-2</c:v>
                </c:pt>
                <c:pt idx="142">
                  <c:v>5.7603786883391406E-2</c:v>
                </c:pt>
                <c:pt idx="143">
                  <c:v>5.7107360123382689E-2</c:v>
                </c:pt>
                <c:pt idx="144">
                  <c:v>6.1304457739951079E-2</c:v>
                </c:pt>
                <c:pt idx="145">
                  <c:v>6.9444097126709625E-2</c:v>
                </c:pt>
                <c:pt idx="146">
                  <c:v>7.2542227853516827E-2</c:v>
                </c:pt>
                <c:pt idx="147">
                  <c:v>7.0751773049645417E-2</c:v>
                </c:pt>
                <c:pt idx="148">
                  <c:v>6.340863075151848E-2</c:v>
                </c:pt>
                <c:pt idx="149">
                  <c:v>5.5636097211180235E-2</c:v>
                </c:pt>
                <c:pt idx="150">
                  <c:v>5.1595581466707507E-2</c:v>
                </c:pt>
                <c:pt idx="151">
                  <c:v>4.7394477078665398E-2</c:v>
                </c:pt>
                <c:pt idx="152">
                  <c:v>4.0438733377634817E-2</c:v>
                </c:pt>
                <c:pt idx="153">
                  <c:v>4.221181960483178E-2</c:v>
                </c:pt>
                <c:pt idx="154">
                  <c:v>3.8887997315553813E-2</c:v>
                </c:pt>
              </c:numCache>
            </c:numRef>
          </c:val>
          <c:smooth val="0"/>
          <c:extLst>
            <c:ext xmlns:c16="http://schemas.microsoft.com/office/drawing/2014/chart" uri="{C3380CC4-5D6E-409C-BE32-E72D297353CC}">
              <c16:uniqueId val="{00000001-B4F6-1640-94D7-7B6318875154}"/>
            </c:ext>
          </c:extLst>
        </c:ser>
        <c:dLbls>
          <c:showLegendKey val="0"/>
          <c:showVal val="0"/>
          <c:showCatName val="0"/>
          <c:showSerName val="0"/>
          <c:showPercent val="0"/>
          <c:showBubbleSize val="0"/>
        </c:dLbls>
        <c:smooth val="0"/>
        <c:axId val="203169280"/>
        <c:axId val="318468608"/>
      </c:lineChart>
      <c:dateAx>
        <c:axId val="203169280"/>
        <c:scaling>
          <c:orientation val="minMax"/>
        </c:scaling>
        <c:delete val="0"/>
        <c:axPos val="b"/>
        <c:numFmt formatCode="yyyy\-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18468608"/>
        <c:crosses val="autoZero"/>
        <c:auto val="1"/>
        <c:lblOffset val="100"/>
        <c:baseTimeUnit val="months"/>
      </c:dateAx>
      <c:valAx>
        <c:axId val="318468608"/>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0316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49012-BE67-2B49-A026-26D7519A1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1114</Words>
  <Characters>6355</Characters>
  <Application>Microsoft Office Word</Application>
  <DocSecurity>0</DocSecurity>
  <Lines>52</Lines>
  <Paragraphs>14</Paragraphs>
  <ScaleCrop>false</ScaleCrop>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华 李</cp:lastModifiedBy>
  <cp:revision>7</cp:revision>
  <dcterms:created xsi:type="dcterms:W3CDTF">2018-12-14T07:40:00Z</dcterms:created>
  <dcterms:modified xsi:type="dcterms:W3CDTF">2026-08-18T09:12:00Z</dcterms:modified>
</cp:coreProperties>
</file>